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jc w:val="right"/>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jc w:val="center"/>
        <w:rPr>
          <w:rFonts w:ascii="方正小标宋简体" w:eastAsia="方正小标宋简体" w:cs="Times New Roman"/>
          <w:sz w:val="84"/>
          <w:szCs w:val="84"/>
        </w:rPr>
      </w:pPr>
      <w:r>
        <w:rPr>
          <w:rFonts w:hint="eastAsia" w:ascii="方正小标宋简体" w:hAnsi="宋体" w:eastAsia="方正小标宋简体" w:cs="宋体"/>
          <w:sz w:val="84"/>
          <w:szCs w:val="84"/>
        </w:rPr>
        <w:t>招标文件</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jc w:val="center"/>
        <w:rPr>
          <w:rFonts w:ascii="宋体" w:hAnsi="宋体" w:cs="宋体"/>
          <w:b/>
          <w:sz w:val="36"/>
          <w:szCs w:val="36"/>
        </w:rPr>
      </w:pPr>
      <w:r>
        <w:rPr>
          <w:rFonts w:hint="eastAsia" w:ascii="宋体" w:hAnsi="宋体" w:cs="宋体"/>
          <w:b/>
          <w:sz w:val="36"/>
          <w:szCs w:val="36"/>
        </w:rPr>
        <w:t>招标项目名称：重庆</w:t>
      </w:r>
      <w:r>
        <w:rPr>
          <w:rFonts w:hint="eastAsia" w:ascii="宋体" w:hAnsi="宋体" w:cs="宋体"/>
          <w:b/>
          <w:sz w:val="36"/>
          <w:szCs w:val="36"/>
          <w:lang w:eastAsia="zh-CN"/>
        </w:rPr>
        <w:t>商务职业学院</w:t>
      </w:r>
      <w:r>
        <w:rPr>
          <w:rFonts w:hint="eastAsia" w:ascii="宋体" w:hAnsi="宋体" w:cs="宋体"/>
          <w:b/>
          <w:sz w:val="36"/>
          <w:szCs w:val="36"/>
        </w:rPr>
        <w:t>食堂原材料配送服务入围企业招标</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jc w:val="center"/>
        <w:rPr>
          <w:rFonts w:hint="eastAsia" w:ascii="宋体" w:eastAsia="宋体" w:cs="Times New Roman"/>
          <w:b/>
          <w:sz w:val="36"/>
          <w:szCs w:val="36"/>
          <w:lang w:eastAsia="zh-CN"/>
        </w:rPr>
      </w:pPr>
      <w:r>
        <w:rPr>
          <w:rFonts w:hint="eastAsia" w:ascii="宋体" w:hAnsi="宋体" w:cs="宋体"/>
          <w:b/>
          <w:sz w:val="36"/>
          <w:szCs w:val="36"/>
        </w:rPr>
        <w:t>招标人：重庆</w:t>
      </w:r>
      <w:r>
        <w:rPr>
          <w:rFonts w:hint="eastAsia" w:ascii="宋体" w:hAnsi="宋体" w:cs="宋体"/>
          <w:b/>
          <w:sz w:val="36"/>
          <w:szCs w:val="36"/>
          <w:lang w:eastAsia="zh-CN"/>
        </w:rPr>
        <w:t>莘莘餐饮管理有限公司</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jc w:val="center"/>
        <w:rPr>
          <w:rFonts w:ascii="宋体" w:hAnsi="宋体" w:cs="宋体"/>
          <w:sz w:val="30"/>
          <w:szCs w:val="30"/>
        </w:rPr>
      </w:pPr>
      <w:r>
        <w:rPr>
          <w:rFonts w:ascii="宋体" w:hAnsi="宋体" w:cs="宋体"/>
          <w:sz w:val="30"/>
          <w:szCs w:val="30"/>
        </w:rPr>
        <w:t>2019</w:t>
      </w:r>
      <w:r>
        <w:rPr>
          <w:rFonts w:hint="eastAsia" w:ascii="宋体" w:hAnsi="宋体" w:cs="宋体"/>
          <w:sz w:val="30"/>
          <w:szCs w:val="30"/>
        </w:rPr>
        <w:t>年8月</w:t>
      </w:r>
      <w:bookmarkStart w:id="0" w:name="page2"/>
      <w:bookmarkEnd w:id="0"/>
    </w:p>
    <w:p>
      <w:pPr>
        <w:spacing w:line="360" w:lineRule="auto"/>
        <w:jc w:val="center"/>
        <w:rPr>
          <w:rFonts w:ascii="宋体" w:cs="Times New Roman"/>
          <w:sz w:val="30"/>
          <w:szCs w:val="30"/>
        </w:rPr>
      </w:pPr>
    </w:p>
    <w:p>
      <w:pPr>
        <w:rPr>
          <w:rFonts w:hint="eastAsia" w:ascii="宋体" w:hAnsi="宋体" w:cs="宋体"/>
          <w:b/>
          <w:bCs/>
          <w:sz w:val="44"/>
          <w:szCs w:val="44"/>
        </w:rPr>
      </w:pPr>
      <w:r>
        <w:rPr>
          <w:rFonts w:hint="eastAsia" w:ascii="宋体" w:hAnsi="宋体" w:cs="宋体"/>
          <w:b/>
          <w:bCs/>
          <w:sz w:val="44"/>
          <w:szCs w:val="44"/>
        </w:rPr>
        <w:br w:type="page"/>
      </w:r>
    </w:p>
    <w:p>
      <w:pPr>
        <w:tabs>
          <w:tab w:val="left" w:pos="660"/>
        </w:tabs>
        <w:spacing w:line="360" w:lineRule="auto"/>
        <w:jc w:val="center"/>
        <w:rPr>
          <w:rFonts w:ascii="宋体" w:cs="Times New Roman"/>
          <w:b/>
          <w:bCs/>
          <w:sz w:val="44"/>
          <w:szCs w:val="44"/>
        </w:rPr>
      </w:pPr>
      <w:r>
        <w:rPr>
          <w:rFonts w:hint="eastAsia" w:ascii="宋体" w:hAnsi="宋体" w:cs="宋体"/>
          <w:b/>
          <w:bCs/>
          <w:sz w:val="44"/>
          <w:szCs w:val="44"/>
        </w:rPr>
        <w:t>目</w:t>
      </w:r>
      <w:r>
        <w:rPr>
          <w:rFonts w:ascii="宋体" w:cs="Times New Roman"/>
        </w:rPr>
        <w:tab/>
      </w:r>
      <w:r>
        <w:rPr>
          <w:rFonts w:hint="eastAsia" w:ascii="宋体" w:hAnsi="宋体" w:cs="宋体"/>
          <w:b/>
          <w:bCs/>
          <w:sz w:val="44"/>
          <w:szCs w:val="44"/>
        </w:rPr>
        <w:t>录</w:t>
      </w:r>
    </w:p>
    <w:p>
      <w:pPr>
        <w:spacing w:line="360" w:lineRule="auto"/>
        <w:rPr>
          <w:rFonts w:ascii="宋体" w:cs="Times New Roman"/>
        </w:rPr>
      </w:pPr>
    </w:p>
    <w:p>
      <w:pPr>
        <w:tabs>
          <w:tab w:val="left" w:pos="1080"/>
        </w:tabs>
        <w:spacing w:line="360" w:lineRule="auto"/>
        <w:rPr>
          <w:rFonts w:ascii="宋体" w:hAnsi="宋体" w:cs="宋体"/>
          <w:sz w:val="28"/>
          <w:szCs w:val="28"/>
        </w:rPr>
      </w:pPr>
      <w:r>
        <w:rPr>
          <w:rFonts w:hint="eastAsia" w:ascii="宋体" w:hAnsi="宋体" w:cs="宋体"/>
          <w:b/>
          <w:bCs/>
          <w:sz w:val="28"/>
          <w:szCs w:val="28"/>
        </w:rPr>
        <w:t>第一章</w:t>
      </w:r>
      <w:r>
        <w:rPr>
          <w:rFonts w:ascii="宋体" w:cs="Times New Roman"/>
          <w:sz w:val="28"/>
          <w:szCs w:val="28"/>
        </w:rPr>
        <w:tab/>
      </w:r>
      <w:r>
        <w:rPr>
          <w:rFonts w:hint="eastAsia" w:ascii="宋体" w:hAnsi="宋体" w:cs="宋体"/>
          <w:b/>
          <w:bCs/>
          <w:sz w:val="28"/>
          <w:szCs w:val="28"/>
        </w:rPr>
        <w:t xml:space="preserve">投标邀请 </w:t>
      </w:r>
      <w:r>
        <w:rPr>
          <w:rFonts w:hint="eastAsia" w:ascii="宋体" w:hAnsi="宋体" w:cs="宋体"/>
          <w:sz w:val="28"/>
          <w:szCs w:val="28"/>
        </w:rPr>
        <w:t>………………………………………………………………3</w:t>
      </w:r>
    </w:p>
    <w:p>
      <w:pPr>
        <w:tabs>
          <w:tab w:val="left" w:pos="1160"/>
        </w:tabs>
        <w:spacing w:line="360" w:lineRule="auto"/>
        <w:rPr>
          <w:rFonts w:ascii="宋体" w:cs="Times New Roman"/>
          <w:b/>
          <w:bCs/>
          <w:sz w:val="28"/>
          <w:szCs w:val="28"/>
        </w:rPr>
      </w:pPr>
    </w:p>
    <w:p>
      <w:pPr>
        <w:tabs>
          <w:tab w:val="left" w:pos="1160"/>
        </w:tabs>
        <w:spacing w:line="360" w:lineRule="auto"/>
        <w:rPr>
          <w:rFonts w:ascii="宋体" w:cs="Times New Roman"/>
          <w:sz w:val="28"/>
          <w:szCs w:val="28"/>
        </w:rPr>
      </w:pPr>
      <w:r>
        <w:rPr>
          <w:rFonts w:hint="eastAsia" w:ascii="宋体" w:hAnsi="宋体" w:cs="宋体"/>
          <w:b/>
          <w:bCs/>
          <w:sz w:val="28"/>
          <w:szCs w:val="28"/>
        </w:rPr>
        <w:t>第二章</w:t>
      </w:r>
      <w:r>
        <w:rPr>
          <w:rFonts w:ascii="宋体" w:cs="Times New Roman"/>
          <w:b/>
          <w:bCs/>
          <w:sz w:val="28"/>
          <w:szCs w:val="28"/>
        </w:rPr>
        <w:tab/>
      </w:r>
      <w:r>
        <w:rPr>
          <w:rFonts w:hint="eastAsia" w:ascii="宋体" w:cs="Times New Roman"/>
          <w:b/>
          <w:bCs/>
          <w:sz w:val="28"/>
          <w:szCs w:val="28"/>
        </w:rPr>
        <w:t>配送服务企业</w:t>
      </w:r>
      <w:r>
        <w:rPr>
          <w:rFonts w:hint="eastAsia" w:ascii="宋体" w:hAnsi="宋体" w:cs="宋体"/>
          <w:b/>
          <w:bCs/>
          <w:sz w:val="28"/>
          <w:szCs w:val="28"/>
        </w:rPr>
        <w:t>须知</w:t>
      </w:r>
      <w:r>
        <w:rPr>
          <w:rFonts w:hint="eastAsia" w:ascii="宋体" w:hAnsi="宋体" w:cs="宋体"/>
          <w:sz w:val="28"/>
          <w:szCs w:val="28"/>
        </w:rPr>
        <w:t>……………………………………………………8</w:t>
      </w:r>
    </w:p>
    <w:p>
      <w:pPr>
        <w:spacing w:line="360" w:lineRule="auto"/>
        <w:rPr>
          <w:rFonts w:ascii="宋体" w:cs="Times New Roman"/>
          <w:sz w:val="28"/>
          <w:szCs w:val="28"/>
        </w:rPr>
      </w:pPr>
    </w:p>
    <w:p>
      <w:pPr>
        <w:tabs>
          <w:tab w:val="left" w:pos="1220"/>
          <w:tab w:val="left" w:leader="dot" w:pos="8920"/>
        </w:tabs>
        <w:spacing w:line="360" w:lineRule="auto"/>
        <w:rPr>
          <w:rFonts w:ascii="宋体" w:hAnsi="宋体" w:cs="宋体"/>
          <w:sz w:val="28"/>
          <w:szCs w:val="28"/>
        </w:rPr>
      </w:pPr>
      <w:r>
        <w:rPr>
          <w:rFonts w:hint="eastAsia" w:ascii="宋体" w:hAnsi="宋体" w:cs="宋体"/>
          <w:b/>
          <w:bCs/>
          <w:sz w:val="28"/>
          <w:szCs w:val="28"/>
        </w:rPr>
        <w:t>第三章</w:t>
      </w:r>
      <w:r>
        <w:rPr>
          <w:rFonts w:ascii="宋体" w:cs="Times New Roman"/>
          <w:b/>
          <w:bCs/>
          <w:sz w:val="28"/>
          <w:szCs w:val="28"/>
        </w:rPr>
        <w:tab/>
      </w:r>
      <w:r>
        <w:rPr>
          <w:rFonts w:hint="eastAsia" w:ascii="宋体" w:hAnsi="宋体" w:cs="宋体"/>
          <w:b/>
          <w:bCs/>
          <w:sz w:val="28"/>
          <w:szCs w:val="28"/>
        </w:rPr>
        <w:t xml:space="preserve">采购项目技术及商务要求 </w:t>
      </w: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3</w:t>
      </w:r>
    </w:p>
    <w:p>
      <w:pPr>
        <w:tabs>
          <w:tab w:val="left" w:pos="1080"/>
          <w:tab w:val="left" w:leader="dot" w:pos="8920"/>
        </w:tabs>
        <w:spacing w:line="360" w:lineRule="auto"/>
        <w:rPr>
          <w:rFonts w:ascii="宋体" w:cs="Times New Roman"/>
          <w:sz w:val="28"/>
          <w:szCs w:val="28"/>
        </w:rPr>
      </w:pPr>
    </w:p>
    <w:p>
      <w:pPr>
        <w:pStyle w:val="42"/>
        <w:spacing w:line="360" w:lineRule="auto"/>
        <w:ind w:firstLine="0" w:firstLineChars="0"/>
        <w:jc w:val="left"/>
        <w:rPr>
          <w:rFonts w:ascii="宋体" w:hAnsi="宋体" w:cs="宋体"/>
          <w:sz w:val="28"/>
          <w:szCs w:val="28"/>
        </w:rPr>
      </w:pPr>
      <w:r>
        <w:rPr>
          <w:rFonts w:hint="eastAsia" w:ascii="宋体" w:hAnsi="宋体" w:cs="宋体"/>
          <w:b/>
          <w:bCs/>
          <w:kern w:val="0"/>
          <w:sz w:val="28"/>
          <w:szCs w:val="28"/>
        </w:rPr>
        <w:t xml:space="preserve">第四章  </w:t>
      </w:r>
      <w:r>
        <w:rPr>
          <w:rFonts w:hint="eastAsia" w:ascii="宋体" w:hAnsi="宋体" w:cs="宋体"/>
          <w:b/>
          <w:bCs/>
          <w:sz w:val="28"/>
          <w:szCs w:val="28"/>
        </w:rPr>
        <w:t>评标程序及方法、评审标准、无效响应和采购终止</w:t>
      </w:r>
      <w:r>
        <w:rPr>
          <w:rFonts w:hint="eastAsia" w:ascii="宋体" w:hAnsi="宋体" w:cs="宋体"/>
          <w:sz w:val="28"/>
          <w:szCs w:val="28"/>
        </w:rPr>
        <w:t>………………22</w:t>
      </w:r>
    </w:p>
    <w:p>
      <w:pPr>
        <w:pStyle w:val="42"/>
        <w:spacing w:line="360" w:lineRule="auto"/>
        <w:ind w:firstLine="0" w:firstLineChars="0"/>
        <w:jc w:val="left"/>
        <w:rPr>
          <w:rFonts w:ascii="宋体" w:hAnsi="宋体" w:cs="宋体"/>
          <w:sz w:val="28"/>
          <w:szCs w:val="28"/>
        </w:rPr>
      </w:pPr>
    </w:p>
    <w:p>
      <w:pPr>
        <w:pStyle w:val="42"/>
        <w:spacing w:line="360" w:lineRule="auto"/>
        <w:ind w:firstLine="0" w:firstLineChars="0"/>
        <w:jc w:val="left"/>
        <w:rPr>
          <w:rFonts w:ascii="宋体" w:cs="Times New Roman"/>
          <w:b/>
          <w:bCs/>
          <w:sz w:val="28"/>
          <w:szCs w:val="28"/>
        </w:rPr>
      </w:pPr>
      <w:r>
        <w:rPr>
          <w:rFonts w:hint="eastAsia" w:ascii="宋体" w:hAnsi="宋体" w:cs="宋体"/>
          <w:b/>
          <w:bCs/>
          <w:sz w:val="28"/>
          <w:szCs w:val="28"/>
        </w:rPr>
        <w:t>第五章  确定中标人及签订合同</w:t>
      </w:r>
      <w:r>
        <w:rPr>
          <w:rFonts w:hint="eastAsia" w:ascii="宋体" w:hAnsi="宋体" w:cs="宋体"/>
          <w:sz w:val="28"/>
          <w:szCs w:val="28"/>
        </w:rPr>
        <w:t>………………………………………………31</w:t>
      </w:r>
    </w:p>
    <w:p>
      <w:pPr>
        <w:tabs>
          <w:tab w:val="left" w:pos="1080"/>
          <w:tab w:val="left" w:leader="dot" w:pos="8920"/>
        </w:tabs>
        <w:spacing w:line="360" w:lineRule="auto"/>
        <w:rPr>
          <w:rFonts w:ascii="宋体" w:cs="Times New Roman"/>
          <w:sz w:val="28"/>
          <w:szCs w:val="28"/>
        </w:rPr>
      </w:pPr>
    </w:p>
    <w:p>
      <w:pPr>
        <w:tabs>
          <w:tab w:val="left" w:pos="1080"/>
        </w:tabs>
        <w:spacing w:line="360" w:lineRule="auto"/>
        <w:rPr>
          <w:rFonts w:ascii="宋体" w:cs="Times New Roman"/>
          <w:sz w:val="28"/>
          <w:szCs w:val="28"/>
        </w:rPr>
      </w:pPr>
      <w:r>
        <w:rPr>
          <w:rFonts w:hint="eastAsia" w:ascii="宋体" w:hAnsi="宋体" w:cs="宋体"/>
          <w:b/>
          <w:bCs/>
          <w:sz w:val="28"/>
          <w:szCs w:val="28"/>
        </w:rPr>
        <w:t>第六章</w:t>
      </w:r>
      <w:r>
        <w:rPr>
          <w:rFonts w:ascii="宋体" w:cs="Times New Roman"/>
          <w:sz w:val="28"/>
          <w:szCs w:val="28"/>
        </w:rPr>
        <w:tab/>
      </w:r>
      <w:r>
        <w:rPr>
          <w:rFonts w:hint="eastAsia" w:ascii="宋体" w:hAnsi="宋体" w:cs="宋体"/>
          <w:b/>
          <w:bCs/>
          <w:sz w:val="28"/>
          <w:szCs w:val="28"/>
        </w:rPr>
        <w:t>响应文件格式</w:t>
      </w:r>
      <w:r>
        <w:rPr>
          <w:rFonts w:hint="eastAsia" w:ascii="宋体" w:hAnsi="宋体" w:cs="宋体"/>
          <w:sz w:val="28"/>
          <w:szCs w:val="28"/>
        </w:rPr>
        <w:t>…………………………………………………………33</w:t>
      </w:r>
    </w:p>
    <w:p>
      <w:pPr>
        <w:tabs>
          <w:tab w:val="left" w:pos="1080"/>
        </w:tabs>
        <w:spacing w:line="360" w:lineRule="auto"/>
        <w:rPr>
          <w:rFonts w:ascii="宋体" w:cs="Times New Roman"/>
          <w:sz w:val="28"/>
          <w:szCs w:val="28"/>
        </w:rPr>
      </w:pPr>
    </w:p>
    <w:p>
      <w:pPr>
        <w:tabs>
          <w:tab w:val="left" w:pos="1120"/>
        </w:tabs>
        <w:spacing w:line="360" w:lineRule="auto"/>
        <w:rPr>
          <w:rFonts w:ascii="宋体" w:cs="Times New Roman"/>
          <w:sz w:val="23"/>
          <w:szCs w:val="23"/>
        </w:rPr>
      </w:pPr>
      <w:r>
        <w:rPr>
          <w:rFonts w:hint="eastAsia" w:ascii="宋体" w:hAnsi="宋体" w:cs="宋体"/>
          <w:b/>
          <w:bCs/>
          <w:sz w:val="28"/>
          <w:szCs w:val="28"/>
        </w:rPr>
        <w:t>第七章</w:t>
      </w:r>
      <w:r>
        <w:rPr>
          <w:rFonts w:ascii="宋体" w:cs="Times New Roman"/>
          <w:sz w:val="28"/>
          <w:szCs w:val="28"/>
        </w:rPr>
        <w:tab/>
      </w:r>
      <w:r>
        <w:rPr>
          <w:rFonts w:hint="eastAsia" w:ascii="宋体" w:hAnsi="宋体" w:cs="宋体"/>
          <w:b/>
          <w:bCs/>
          <w:sz w:val="28"/>
          <w:szCs w:val="28"/>
        </w:rPr>
        <w:t>合同主要条款</w:t>
      </w:r>
      <w:r>
        <w:rPr>
          <w:rFonts w:hint="eastAsia" w:ascii="宋体" w:hAnsi="宋体" w:cs="宋体"/>
          <w:sz w:val="28"/>
          <w:szCs w:val="28"/>
        </w:rPr>
        <w:t>…………………………………………………………48</w:t>
      </w: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tabs>
          <w:tab w:val="left" w:pos="460"/>
        </w:tabs>
        <w:spacing w:line="360" w:lineRule="auto"/>
        <w:rPr>
          <w:rFonts w:ascii="宋体" w:cs="Times New Roman"/>
          <w:b/>
          <w:bCs/>
          <w:sz w:val="32"/>
          <w:szCs w:val="32"/>
        </w:rPr>
      </w:pPr>
      <w:bookmarkStart w:id="1" w:name="page3"/>
      <w:bookmarkEnd w:id="1"/>
    </w:p>
    <w:p>
      <w:pPr>
        <w:tabs>
          <w:tab w:val="left" w:pos="460"/>
        </w:tabs>
        <w:spacing w:line="360" w:lineRule="auto"/>
        <w:jc w:val="center"/>
        <w:rPr>
          <w:rFonts w:ascii="宋体" w:cs="Times New Roman"/>
          <w:b/>
          <w:bCs/>
          <w:sz w:val="32"/>
          <w:szCs w:val="32"/>
        </w:rPr>
      </w:pPr>
      <w:r>
        <w:rPr>
          <w:rFonts w:hint="eastAsia" w:ascii="宋体" w:hAnsi="宋体" w:cs="宋体"/>
          <w:b/>
          <w:bCs/>
          <w:sz w:val="32"/>
          <w:szCs w:val="32"/>
        </w:rPr>
        <w:t>第一章</w:t>
      </w:r>
      <w:r>
        <w:rPr>
          <w:rFonts w:ascii="宋体" w:cs="Times New Roman"/>
        </w:rPr>
        <w:tab/>
      </w:r>
      <w:r>
        <w:rPr>
          <w:rFonts w:hint="eastAsia" w:ascii="宋体" w:hAnsi="宋体" w:cs="宋体"/>
          <w:b/>
          <w:bCs/>
          <w:sz w:val="32"/>
          <w:szCs w:val="32"/>
        </w:rPr>
        <w:t>投标邀请</w:t>
      </w:r>
    </w:p>
    <w:p>
      <w:pPr>
        <w:spacing w:line="360" w:lineRule="auto"/>
        <w:rPr>
          <w:rFonts w:ascii="宋体" w:hAnsi="宋体" w:cs="宋体"/>
          <w:sz w:val="24"/>
          <w:szCs w:val="24"/>
        </w:rPr>
      </w:pPr>
      <w:r>
        <w:rPr>
          <w:rFonts w:hint="eastAsia" w:ascii="宋体" w:hAnsi="宋体" w:cs="宋体"/>
          <w:b/>
          <w:bCs/>
          <w:sz w:val="24"/>
          <w:szCs w:val="24"/>
          <w:lang w:eastAsia="zh-CN"/>
        </w:rPr>
        <w:t>一</w:t>
      </w:r>
      <w:r>
        <w:rPr>
          <w:rFonts w:hint="eastAsia" w:ascii="宋体" w:hAnsi="宋体" w:cs="宋体"/>
          <w:b/>
          <w:bCs/>
          <w:sz w:val="24"/>
          <w:szCs w:val="24"/>
        </w:rPr>
        <w:t>、采购项目名称：</w:t>
      </w:r>
      <w:r>
        <w:rPr>
          <w:rFonts w:hint="eastAsia" w:ascii="宋体" w:hAnsi="宋体" w:cs="宋体"/>
          <w:sz w:val="24"/>
          <w:szCs w:val="24"/>
          <w:lang w:eastAsia="zh-CN"/>
        </w:rPr>
        <w:t>重庆商务职业学院</w:t>
      </w:r>
      <w:r>
        <w:rPr>
          <w:rFonts w:hint="eastAsia" w:ascii="宋体" w:hAnsi="宋体" w:cs="宋体"/>
          <w:sz w:val="24"/>
          <w:szCs w:val="24"/>
        </w:rPr>
        <w:t>食堂原材料配送服务入围企业招标</w:t>
      </w:r>
    </w:p>
    <w:p>
      <w:pPr>
        <w:spacing w:line="360" w:lineRule="auto"/>
        <w:ind w:firstLine="360" w:firstLineChars="150"/>
        <w:rPr>
          <w:rFonts w:ascii="宋体" w:cs="Times New Roman"/>
          <w:sz w:val="24"/>
          <w:szCs w:val="24"/>
        </w:rPr>
      </w:pPr>
      <w:r>
        <w:rPr>
          <w:rFonts w:hint="eastAsia" w:ascii="宋体" w:hAnsi="宋体" w:cs="宋体"/>
          <w:sz w:val="24"/>
          <w:szCs w:val="24"/>
        </w:rPr>
        <w:t>（本次招标合同期限为</w:t>
      </w:r>
      <w:r>
        <w:rPr>
          <w:rFonts w:hint="eastAsia" w:ascii="宋体" w:hAnsi="宋体" w:cs="宋体"/>
          <w:sz w:val="24"/>
          <w:szCs w:val="24"/>
          <w:lang w:eastAsia="zh-CN"/>
        </w:rPr>
        <w:t>壹年</w:t>
      </w:r>
      <w:r>
        <w:rPr>
          <w:rFonts w:hint="eastAsia" w:ascii="宋体" w:hAnsi="宋体" w:cs="宋体"/>
          <w:sz w:val="24"/>
          <w:szCs w:val="24"/>
        </w:rPr>
        <w:t>）</w:t>
      </w:r>
    </w:p>
    <w:p>
      <w:pPr>
        <w:spacing w:line="360" w:lineRule="auto"/>
        <w:rPr>
          <w:rFonts w:ascii="宋体" w:cs="Times New Roman"/>
          <w:b/>
          <w:bCs/>
          <w:sz w:val="24"/>
          <w:szCs w:val="24"/>
        </w:rPr>
      </w:pPr>
      <w:r>
        <w:rPr>
          <w:rFonts w:hint="eastAsia" w:ascii="宋体" w:hAnsi="宋体" w:cs="宋体"/>
          <w:b/>
          <w:bCs/>
          <w:sz w:val="24"/>
          <w:szCs w:val="24"/>
          <w:lang w:eastAsia="zh-CN"/>
        </w:rPr>
        <w:t>二</w:t>
      </w:r>
      <w:r>
        <w:rPr>
          <w:rFonts w:hint="eastAsia" w:ascii="宋体" w:hAnsi="宋体" w:cs="宋体"/>
          <w:b/>
          <w:bCs/>
          <w:sz w:val="24"/>
          <w:szCs w:val="24"/>
        </w:rPr>
        <w:t>、采购项目内容：</w:t>
      </w:r>
    </w:p>
    <w:p>
      <w:pPr>
        <w:spacing w:line="360" w:lineRule="auto"/>
        <w:ind w:firstLine="480" w:firstLineChars="200"/>
        <w:rPr>
          <w:rFonts w:ascii="宋体" w:hAnsi="宋体" w:cs="宋体"/>
          <w:sz w:val="24"/>
          <w:szCs w:val="24"/>
        </w:rPr>
      </w:pPr>
      <w:r>
        <w:rPr>
          <w:rFonts w:hint="eastAsia" w:ascii="宋体" w:hAnsi="宋体" w:cs="宋体"/>
          <w:sz w:val="24"/>
          <w:szCs w:val="24"/>
        </w:rPr>
        <w:t>此次采购项目为学生食堂原材料配送服务入围企业招标，其内容为：米、面、油、干副</w:t>
      </w:r>
      <w:r>
        <w:rPr>
          <w:rFonts w:hint="eastAsia" w:ascii="宋体" w:hAnsi="宋体" w:cs="宋体"/>
          <w:sz w:val="24"/>
          <w:szCs w:val="24"/>
          <w:lang w:eastAsia="zh-CN"/>
        </w:rPr>
        <w:t>类、</w:t>
      </w:r>
      <w:r>
        <w:rPr>
          <w:rFonts w:hint="eastAsia" w:ascii="宋体" w:hAnsi="宋体" w:cs="宋体"/>
          <w:sz w:val="24"/>
          <w:szCs w:val="24"/>
        </w:rPr>
        <w:t>杂支类</w:t>
      </w:r>
      <w:r>
        <w:rPr>
          <w:rFonts w:hint="eastAsia" w:ascii="宋体" w:hAnsi="宋体" w:cs="宋体"/>
          <w:sz w:val="24"/>
          <w:szCs w:val="24"/>
          <w:lang w:eastAsia="zh-CN"/>
        </w:rPr>
        <w:t>、猪</w:t>
      </w:r>
      <w:r>
        <w:rPr>
          <w:rFonts w:hint="eastAsia" w:ascii="宋体" w:hAnsi="宋体" w:cs="宋体"/>
          <w:sz w:val="24"/>
          <w:szCs w:val="24"/>
        </w:rPr>
        <w:t>肉</w:t>
      </w:r>
      <w:r>
        <w:rPr>
          <w:rFonts w:hint="eastAsia" w:ascii="宋体" w:hAnsi="宋体" w:cs="宋体"/>
          <w:sz w:val="24"/>
          <w:szCs w:val="24"/>
          <w:lang w:eastAsia="zh-CN"/>
        </w:rPr>
        <w:t>类</w:t>
      </w:r>
      <w:r>
        <w:rPr>
          <w:rFonts w:hint="eastAsia" w:ascii="宋体" w:hAnsi="宋体" w:cs="宋体"/>
          <w:sz w:val="24"/>
          <w:szCs w:val="24"/>
        </w:rPr>
        <w:t>、家禽类、禽蛋类、牛肉系列、水产品类、冻货</w:t>
      </w:r>
      <w:r>
        <w:rPr>
          <w:rFonts w:hint="eastAsia" w:ascii="宋体" w:hAnsi="宋体" w:cs="宋体"/>
          <w:sz w:val="24"/>
          <w:szCs w:val="24"/>
          <w:lang w:eastAsia="zh-CN"/>
        </w:rPr>
        <w:t>类</w:t>
      </w:r>
      <w:r>
        <w:rPr>
          <w:rFonts w:hint="eastAsia" w:ascii="宋体" w:hAnsi="宋体" w:cs="宋体"/>
          <w:sz w:val="24"/>
          <w:szCs w:val="24"/>
        </w:rPr>
        <w:t>、</w:t>
      </w:r>
      <w:r>
        <w:rPr>
          <w:rFonts w:hint="eastAsia" w:ascii="宋体" w:hAnsi="宋体" w:cs="宋体"/>
          <w:sz w:val="24"/>
          <w:szCs w:val="24"/>
          <w:lang w:eastAsia="zh-CN"/>
        </w:rPr>
        <w:t>蔬菜类</w:t>
      </w:r>
      <w:r>
        <w:rPr>
          <w:rFonts w:hint="eastAsia" w:ascii="宋体" w:hAnsi="宋体" w:cs="宋体"/>
          <w:sz w:val="24"/>
          <w:szCs w:val="24"/>
        </w:rPr>
        <w:t>、面食类等品种。</w:t>
      </w:r>
    </w:p>
    <w:tbl>
      <w:tblPr>
        <w:tblStyle w:val="25"/>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261"/>
        <w:gridCol w:w="1418"/>
        <w:gridCol w:w="1550"/>
        <w:gridCol w:w="2419"/>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71"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标包</w:t>
            </w:r>
          </w:p>
        </w:tc>
        <w:tc>
          <w:tcPr>
            <w:tcW w:w="1261"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项目名称</w:t>
            </w:r>
          </w:p>
        </w:tc>
        <w:tc>
          <w:tcPr>
            <w:tcW w:w="1418"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最高限价</w:t>
            </w:r>
          </w:p>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（万元）</w:t>
            </w:r>
          </w:p>
        </w:tc>
        <w:tc>
          <w:tcPr>
            <w:tcW w:w="1550"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投标保证金</w:t>
            </w:r>
          </w:p>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（万元）</w:t>
            </w:r>
          </w:p>
        </w:tc>
        <w:tc>
          <w:tcPr>
            <w:tcW w:w="2419"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备注</w:t>
            </w:r>
          </w:p>
        </w:tc>
        <w:tc>
          <w:tcPr>
            <w:tcW w:w="1417" w:type="dxa"/>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定点入围企业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71"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包一</w:t>
            </w:r>
          </w:p>
        </w:tc>
        <w:tc>
          <w:tcPr>
            <w:tcW w:w="1261" w:type="dxa"/>
            <w:vMerge w:val="restart"/>
            <w:vAlign w:val="center"/>
          </w:tcPr>
          <w:p>
            <w:pPr>
              <w:snapToGrid w:val="0"/>
              <w:spacing w:line="420" w:lineRule="exact"/>
              <w:rPr>
                <w:rFonts w:ascii="宋体" w:hAnsi="宋体" w:cs="宋体"/>
                <w:sz w:val="24"/>
                <w:szCs w:val="24"/>
              </w:rPr>
            </w:pPr>
            <w:r>
              <w:rPr>
                <w:rFonts w:hint="eastAsia" w:ascii="宋体" w:hAnsi="宋体" w:cs="宋体"/>
                <w:sz w:val="24"/>
                <w:szCs w:val="24"/>
                <w:lang w:eastAsia="zh-CN"/>
              </w:rPr>
              <w:t>重庆商务职业学院</w:t>
            </w:r>
            <w:r>
              <w:rPr>
                <w:rFonts w:hint="eastAsia" w:ascii="宋体" w:hAnsi="宋体" w:cs="宋体"/>
                <w:sz w:val="24"/>
                <w:szCs w:val="24"/>
              </w:rPr>
              <w:t>食堂原材料配送服务入围企业招标</w:t>
            </w:r>
          </w:p>
        </w:tc>
        <w:tc>
          <w:tcPr>
            <w:tcW w:w="1418"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无</w:t>
            </w:r>
          </w:p>
        </w:tc>
        <w:tc>
          <w:tcPr>
            <w:tcW w:w="1550" w:type="dxa"/>
            <w:vAlign w:val="center"/>
          </w:tcPr>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1</w:t>
            </w:r>
          </w:p>
        </w:tc>
        <w:tc>
          <w:tcPr>
            <w:tcW w:w="2419" w:type="dxa"/>
            <w:vAlign w:val="center"/>
          </w:tcPr>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rPr>
              <w:t>大米类、面粉类、食用油</w:t>
            </w:r>
            <w:r>
              <w:rPr>
                <w:rFonts w:hint="eastAsia" w:ascii="宋体" w:hAnsi="宋体" w:cs="宋体"/>
                <w:color w:val="000000"/>
                <w:sz w:val="24"/>
                <w:szCs w:val="24"/>
                <w:lang w:eastAsia="zh-CN"/>
              </w:rPr>
              <w:t>类、干</w:t>
            </w:r>
            <w:r>
              <w:rPr>
                <w:rFonts w:hint="eastAsia" w:ascii="宋体" w:hAnsi="宋体" w:cs="宋体"/>
                <w:color w:val="000000"/>
                <w:sz w:val="24"/>
                <w:szCs w:val="24"/>
              </w:rPr>
              <w:t>副</w:t>
            </w:r>
            <w:r>
              <w:rPr>
                <w:rFonts w:hint="eastAsia" w:ascii="宋体" w:hAnsi="宋体" w:cs="宋体"/>
                <w:color w:val="000000"/>
                <w:sz w:val="24"/>
                <w:szCs w:val="24"/>
                <w:lang w:eastAsia="zh-CN"/>
              </w:rPr>
              <w:t>类、</w:t>
            </w:r>
            <w:r>
              <w:rPr>
                <w:rFonts w:hint="eastAsia" w:ascii="宋体" w:hAnsi="宋体" w:cs="宋体"/>
                <w:color w:val="000000"/>
                <w:sz w:val="24"/>
                <w:szCs w:val="24"/>
              </w:rPr>
              <w:t>杂支、低值易耗品、洗涤剂等餐辅用品</w:t>
            </w:r>
          </w:p>
        </w:tc>
        <w:tc>
          <w:tcPr>
            <w:tcW w:w="1417" w:type="dxa"/>
          </w:tcPr>
          <w:p>
            <w:pPr>
              <w:snapToGrid w:val="0"/>
              <w:spacing w:line="420" w:lineRule="exact"/>
              <w:jc w:val="both"/>
              <w:rPr>
                <w:rFonts w:hint="eastAsia" w:ascii="宋体" w:hAnsi="宋体" w:cs="宋体"/>
                <w:color w:val="000000"/>
                <w:sz w:val="24"/>
                <w:szCs w:val="24"/>
                <w:lang w:val="en-US" w:eastAsia="zh-CN"/>
              </w:rPr>
            </w:pPr>
          </w:p>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771"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包二</w:t>
            </w:r>
          </w:p>
        </w:tc>
        <w:tc>
          <w:tcPr>
            <w:tcW w:w="1261" w:type="dxa"/>
            <w:vMerge w:val="continue"/>
            <w:vAlign w:val="center"/>
          </w:tcPr>
          <w:p>
            <w:pPr>
              <w:snapToGrid w:val="0"/>
              <w:spacing w:line="420" w:lineRule="exact"/>
              <w:ind w:firstLine="480" w:firstLineChars="200"/>
              <w:jc w:val="center"/>
              <w:rPr>
                <w:rFonts w:ascii="宋体" w:hAnsi="宋体" w:cs="宋体"/>
                <w:color w:val="000000"/>
                <w:sz w:val="24"/>
                <w:szCs w:val="24"/>
              </w:rPr>
            </w:pPr>
          </w:p>
        </w:tc>
        <w:tc>
          <w:tcPr>
            <w:tcW w:w="1418"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无</w:t>
            </w:r>
          </w:p>
        </w:tc>
        <w:tc>
          <w:tcPr>
            <w:tcW w:w="1550" w:type="dxa"/>
            <w:vAlign w:val="center"/>
          </w:tcPr>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1</w:t>
            </w:r>
          </w:p>
        </w:tc>
        <w:tc>
          <w:tcPr>
            <w:tcW w:w="2419" w:type="dxa"/>
            <w:vAlign w:val="center"/>
          </w:tcPr>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rPr>
              <w:t>鲜活猪肉</w:t>
            </w:r>
            <w:r>
              <w:rPr>
                <w:rFonts w:hint="eastAsia" w:ascii="宋体" w:hAnsi="宋体" w:cs="宋体"/>
                <w:color w:val="000000"/>
                <w:sz w:val="24"/>
                <w:szCs w:val="24"/>
                <w:lang w:eastAsia="zh-CN"/>
              </w:rPr>
              <w:t>、家禽类、</w:t>
            </w:r>
            <w:r>
              <w:rPr>
                <w:rFonts w:hint="eastAsia" w:ascii="宋体" w:hAnsi="宋体" w:cs="宋体"/>
                <w:color w:val="000000"/>
                <w:sz w:val="24"/>
                <w:szCs w:val="24"/>
              </w:rPr>
              <w:t>蛋类、牛肉、水产品</w:t>
            </w:r>
            <w:r>
              <w:rPr>
                <w:rFonts w:hint="eastAsia" w:ascii="宋体" w:hAnsi="宋体" w:cs="宋体"/>
                <w:color w:val="000000"/>
                <w:sz w:val="24"/>
                <w:szCs w:val="24"/>
                <w:lang w:eastAsia="zh-CN"/>
              </w:rPr>
              <w:t>、冻货产品</w:t>
            </w:r>
          </w:p>
        </w:tc>
        <w:tc>
          <w:tcPr>
            <w:tcW w:w="1417" w:type="dxa"/>
          </w:tcPr>
          <w:p>
            <w:pPr>
              <w:snapToGrid w:val="0"/>
              <w:spacing w:line="420" w:lineRule="exact"/>
              <w:jc w:val="center"/>
              <w:rPr>
                <w:rFonts w:hint="eastAsia" w:ascii="宋体" w:hAnsi="宋体" w:cs="宋体"/>
                <w:color w:val="000000"/>
                <w:sz w:val="24"/>
                <w:szCs w:val="24"/>
                <w:lang w:val="en-US" w:eastAsia="zh-CN"/>
              </w:rPr>
            </w:pPr>
          </w:p>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771"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包三</w:t>
            </w:r>
          </w:p>
        </w:tc>
        <w:tc>
          <w:tcPr>
            <w:tcW w:w="1261" w:type="dxa"/>
            <w:vMerge w:val="continue"/>
            <w:vAlign w:val="center"/>
          </w:tcPr>
          <w:p>
            <w:pPr>
              <w:snapToGrid w:val="0"/>
              <w:spacing w:line="420" w:lineRule="exact"/>
              <w:ind w:firstLine="480" w:firstLineChars="200"/>
              <w:jc w:val="center"/>
              <w:rPr>
                <w:rFonts w:ascii="宋体" w:hAnsi="宋体" w:cs="宋体"/>
                <w:color w:val="000000"/>
                <w:sz w:val="24"/>
                <w:szCs w:val="24"/>
              </w:rPr>
            </w:pPr>
          </w:p>
        </w:tc>
        <w:tc>
          <w:tcPr>
            <w:tcW w:w="1418" w:type="dxa"/>
            <w:vAlign w:val="center"/>
          </w:tcPr>
          <w:p>
            <w:pPr>
              <w:snapToGrid w:val="0"/>
              <w:spacing w:line="420" w:lineRule="exact"/>
              <w:jc w:val="center"/>
              <w:rPr>
                <w:rFonts w:ascii="宋体" w:hAnsi="宋体" w:cs="宋体"/>
                <w:color w:val="000000"/>
                <w:sz w:val="24"/>
                <w:szCs w:val="24"/>
              </w:rPr>
            </w:pPr>
            <w:r>
              <w:rPr>
                <w:rFonts w:hint="eastAsia" w:ascii="宋体" w:hAnsi="宋体" w:cs="宋体"/>
                <w:color w:val="000000"/>
                <w:sz w:val="24"/>
                <w:szCs w:val="24"/>
              </w:rPr>
              <w:t>无</w:t>
            </w:r>
          </w:p>
        </w:tc>
        <w:tc>
          <w:tcPr>
            <w:tcW w:w="1550" w:type="dxa"/>
            <w:vAlign w:val="center"/>
          </w:tcPr>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1</w:t>
            </w:r>
          </w:p>
        </w:tc>
        <w:tc>
          <w:tcPr>
            <w:tcW w:w="2419" w:type="dxa"/>
            <w:vAlign w:val="center"/>
          </w:tcPr>
          <w:p>
            <w:pPr>
              <w:snapToGrid w:val="0"/>
              <w:spacing w:line="420" w:lineRule="exact"/>
              <w:jc w:val="center"/>
              <w:rPr>
                <w:rFonts w:hint="default" w:ascii="宋体" w:hAnsi="宋体" w:cs="宋体"/>
                <w:color w:val="000000"/>
                <w:sz w:val="24"/>
                <w:szCs w:val="24"/>
                <w:lang w:val="en-US"/>
              </w:rPr>
            </w:pPr>
            <w:r>
              <w:rPr>
                <w:rFonts w:hint="eastAsia" w:ascii="宋体" w:hAnsi="宋体" w:cs="宋体"/>
                <w:color w:val="000000"/>
                <w:sz w:val="24"/>
                <w:szCs w:val="24"/>
              </w:rPr>
              <w:t>蔬菜</w:t>
            </w:r>
            <w:r>
              <w:rPr>
                <w:rFonts w:hint="eastAsia" w:ascii="宋体" w:hAnsi="宋体" w:cs="宋体"/>
                <w:color w:val="000000"/>
                <w:sz w:val="24"/>
                <w:szCs w:val="24"/>
                <w:lang w:eastAsia="zh-CN"/>
              </w:rPr>
              <w:t>类</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面食类：水面、饺子、米线、汤圆等</w:t>
            </w:r>
          </w:p>
        </w:tc>
        <w:tc>
          <w:tcPr>
            <w:tcW w:w="1417" w:type="dxa"/>
          </w:tcPr>
          <w:p>
            <w:pPr>
              <w:snapToGrid w:val="0"/>
              <w:spacing w:line="420" w:lineRule="exact"/>
              <w:jc w:val="center"/>
              <w:rPr>
                <w:rFonts w:hint="eastAsia" w:ascii="宋体" w:hAnsi="宋体" w:cs="宋体"/>
                <w:color w:val="000000"/>
                <w:sz w:val="24"/>
                <w:szCs w:val="24"/>
                <w:lang w:val="en-US" w:eastAsia="zh-CN"/>
              </w:rPr>
            </w:pPr>
          </w:p>
          <w:p>
            <w:pPr>
              <w:snapToGrid w:val="0"/>
              <w:spacing w:line="420" w:lineRule="exact"/>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p>
        </w:tc>
      </w:tr>
    </w:tbl>
    <w:p>
      <w:pPr>
        <w:spacing w:line="420" w:lineRule="exact"/>
        <w:ind w:firstLine="482" w:firstLineChars="200"/>
        <w:rPr>
          <w:rFonts w:ascii="宋体" w:hAnsi="宋体" w:cs="宋体"/>
          <w:b/>
          <w:bCs/>
          <w:sz w:val="24"/>
          <w:szCs w:val="24"/>
        </w:rPr>
      </w:pPr>
      <w:r>
        <w:rPr>
          <w:rFonts w:hint="eastAsia" w:ascii="宋体" w:hAnsi="宋体" w:cs="宋体"/>
          <w:b/>
          <w:bCs/>
          <w:color w:val="000000"/>
          <w:sz w:val="24"/>
          <w:szCs w:val="24"/>
        </w:rPr>
        <w:t>注：</w:t>
      </w:r>
      <w:r>
        <w:rPr>
          <w:rFonts w:hint="eastAsia" w:ascii="宋体" w:hAnsi="宋体" w:cs="宋体"/>
          <w:b/>
          <w:bCs/>
          <w:sz w:val="24"/>
          <w:szCs w:val="24"/>
        </w:rPr>
        <w:t>1.一个标包即为一个单独的项目。</w:t>
      </w:r>
    </w:p>
    <w:p>
      <w:pPr>
        <w:spacing w:line="420" w:lineRule="exact"/>
        <w:ind w:firstLine="954" w:firstLineChars="396"/>
        <w:rPr>
          <w:rFonts w:ascii="宋体" w:hAnsi="宋体" w:cs="宋体"/>
          <w:b/>
          <w:bCs/>
          <w:sz w:val="24"/>
          <w:szCs w:val="24"/>
        </w:rPr>
      </w:pPr>
      <w:r>
        <w:rPr>
          <w:rFonts w:hint="eastAsia" w:ascii="宋体" w:hAnsi="宋体" w:cs="宋体"/>
          <w:b/>
          <w:bCs/>
          <w:color w:val="000000"/>
          <w:sz w:val="24"/>
          <w:szCs w:val="24"/>
        </w:rPr>
        <w:t>2.若同一竞标人需投多个标包，应分别制作标书，</w:t>
      </w:r>
      <w:r>
        <w:rPr>
          <w:rFonts w:hint="eastAsia" w:ascii="宋体" w:hAnsi="宋体" w:cs="宋体"/>
          <w:b/>
          <w:bCs/>
          <w:sz w:val="24"/>
          <w:szCs w:val="24"/>
        </w:rPr>
        <w:t>分别按要求缴纳投标保证金。</w:t>
      </w:r>
    </w:p>
    <w:p>
      <w:pPr>
        <w:spacing w:line="420" w:lineRule="exact"/>
        <w:ind w:firstLine="954" w:firstLineChars="396"/>
        <w:rPr>
          <w:rFonts w:ascii="宋体" w:hAnsi="宋体" w:cs="宋体"/>
          <w:b/>
          <w:bCs/>
          <w:color w:val="000000"/>
          <w:sz w:val="24"/>
          <w:szCs w:val="24"/>
        </w:rPr>
      </w:pPr>
      <w:r>
        <w:rPr>
          <w:rFonts w:hint="eastAsia" w:ascii="宋体" w:hAnsi="宋体" w:cs="宋体"/>
          <w:b/>
          <w:bCs/>
          <w:color w:val="000000"/>
          <w:sz w:val="24"/>
          <w:szCs w:val="24"/>
        </w:rPr>
        <w:t>3.该项目</w:t>
      </w:r>
      <w:r>
        <w:rPr>
          <w:rFonts w:hint="eastAsia" w:ascii="宋体" w:hAnsi="宋体" w:cs="宋体"/>
          <w:b/>
          <w:bCs/>
          <w:color w:val="000000"/>
          <w:sz w:val="24"/>
          <w:szCs w:val="24"/>
          <w:lang w:eastAsia="zh-CN"/>
        </w:rPr>
        <w:t>三</w:t>
      </w:r>
      <w:r>
        <w:rPr>
          <w:rFonts w:hint="eastAsia" w:ascii="宋体" w:hAnsi="宋体" w:cs="宋体"/>
          <w:b/>
          <w:bCs/>
          <w:color w:val="000000"/>
          <w:sz w:val="24"/>
          <w:szCs w:val="24"/>
        </w:rPr>
        <w:t>个标包投标保证金为同一账户，若同一竞标人需投多个标包，只需将投标保证金分别按要求打进该账户即可,并注明所投标包。若未注明所投标包，将视同未交保证金，投标无效。</w:t>
      </w:r>
    </w:p>
    <w:p>
      <w:pPr>
        <w:spacing w:line="360" w:lineRule="auto"/>
        <w:ind w:firstLine="480" w:firstLineChars="200"/>
        <w:rPr>
          <w:rFonts w:ascii="宋体" w:cs="Times New Roman"/>
          <w:sz w:val="24"/>
          <w:szCs w:val="24"/>
        </w:rPr>
      </w:pPr>
    </w:p>
    <w:p>
      <w:pPr>
        <w:spacing w:line="360" w:lineRule="auto"/>
        <w:rPr>
          <w:rFonts w:ascii="宋体" w:cs="Times New Roman"/>
          <w:b/>
          <w:bCs/>
          <w:sz w:val="24"/>
          <w:szCs w:val="24"/>
        </w:rPr>
      </w:pPr>
      <w:r>
        <w:rPr>
          <w:rFonts w:hint="eastAsia" w:ascii="宋体" w:hAnsi="宋体" w:cs="宋体"/>
          <w:b/>
          <w:bCs/>
          <w:sz w:val="24"/>
          <w:szCs w:val="24"/>
          <w:lang w:eastAsia="zh-CN"/>
        </w:rPr>
        <w:t>三</w:t>
      </w:r>
      <w:r>
        <w:rPr>
          <w:rFonts w:hint="eastAsia" w:ascii="宋体" w:hAnsi="宋体" w:cs="宋体"/>
          <w:b/>
          <w:bCs/>
          <w:sz w:val="24"/>
          <w:szCs w:val="24"/>
        </w:rPr>
        <w:t>、配送服务企业应具有的资格条件：</w:t>
      </w:r>
    </w:p>
    <w:p>
      <w:pPr>
        <w:spacing w:line="360" w:lineRule="auto"/>
        <w:rPr>
          <w:rFonts w:ascii="宋体" w:cs="Times New Roman"/>
          <w:b/>
          <w:bCs/>
          <w:sz w:val="24"/>
          <w:szCs w:val="24"/>
        </w:rPr>
      </w:pPr>
      <w:r>
        <w:rPr>
          <w:rFonts w:hint="eastAsia" w:ascii="宋体" w:hAnsi="宋体" w:cs="宋体"/>
          <w:b/>
          <w:bCs/>
          <w:sz w:val="24"/>
          <w:szCs w:val="24"/>
        </w:rPr>
        <w:t>（一）基本资质要求：</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投标人是指向招标人提供服务或者货物的法人、其他组织。合格的投标人应首先符合政府采购法第二十二条规定的基本资格条件，同时符合根据该项目特殊要求设置的特定资格条件。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（一）基本资格条件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1、具有独立承担民事责任的能力；</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2、具有良好的商业信誉和健全的财务会计制度；</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3、具有履行合同所必需的设备和专业技术能力；</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4、有依法缴纳税收和社会保障资金的良好记录；</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5、参加政府采购活动前三年内，在经营活动中没有重大违法记录；</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6、法律、行政法规规定的其他条件。</w:t>
      </w:r>
    </w:p>
    <w:p>
      <w:pPr>
        <w:spacing w:line="420" w:lineRule="exact"/>
        <w:rPr>
          <w:rFonts w:ascii="宋体" w:hAnsi="宋体" w:cs="宋体"/>
          <w:b/>
          <w:color w:val="000000"/>
          <w:sz w:val="24"/>
          <w:szCs w:val="24"/>
        </w:rPr>
      </w:pPr>
      <w:r>
        <w:rPr>
          <w:rFonts w:hint="eastAsia" w:ascii="宋体" w:hAnsi="宋体" w:cs="宋体"/>
          <w:b/>
          <w:color w:val="000000"/>
          <w:sz w:val="24"/>
          <w:szCs w:val="24"/>
        </w:rPr>
        <w:t>（二）特定资格条件：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包一：</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1.投标人营业执照的经营范围须包含销售预包装食品。同时投标人《食品经营许可证》许可范围须包含销售预包装食品、散装食品。</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2.投标人若为产品生产企业，须提供有效生产许可证复印件（加盖持证企业公章），原件备查。</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3.投标人若为经销商，须提供米、面粉、食用油等产品至少每类1个与合作生产企业的合作协议（加盖投标人公章、原件备查），生产企业食品生产许可证复印件（加盖持证企业公章，视为投标人该类材料原件）和投标人《食品经营许可证》复印件（加盖投标人公章，原件备查）。</w:t>
      </w:r>
    </w:p>
    <w:p>
      <w:pPr>
        <w:spacing w:line="420" w:lineRule="exact"/>
        <w:ind w:firstLine="480" w:firstLineChars="200"/>
        <w:rPr>
          <w:rFonts w:ascii="宋体" w:hAnsi="宋体" w:cs="宋体"/>
          <w:color w:val="000000"/>
        </w:rPr>
      </w:pPr>
      <w:r>
        <w:rPr>
          <w:rFonts w:hint="eastAsia" w:ascii="宋体" w:hAnsi="宋体" w:cs="宋体"/>
          <w:color w:val="000000"/>
          <w:sz w:val="24"/>
          <w:szCs w:val="24"/>
        </w:rPr>
        <w:t>4.本包须配备一名项目负责人（必须为本单位人员且在服务期限内未经招标人同意不得更换，该负责人负责与供货单位的具体业务联系），提供身份证复印件、社保缴纳证明及公司项目委派信原件。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5.本项目不接受联合体投标。</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包二：</w:t>
      </w:r>
    </w:p>
    <w:p>
      <w:pPr>
        <w:widowControl w:val="0"/>
        <w:numPr>
          <w:ilvl w:val="0"/>
          <w:numId w:val="1"/>
        </w:numPr>
        <w:spacing w:line="420" w:lineRule="exact"/>
        <w:ind w:firstLine="480"/>
        <w:jc w:val="both"/>
      </w:pPr>
      <w:r>
        <w:rPr>
          <w:rFonts w:hint="eastAsia" w:ascii="宋体" w:hAnsi="宋体" w:cs="宋体"/>
          <w:color w:val="000000"/>
          <w:sz w:val="24"/>
          <w:szCs w:val="24"/>
        </w:rPr>
        <w:t>投标人营业执照的经营范围须有包二投标产品的经营范围，同时投标人具有《食品经营许可证》且许可范围须包含销售预包装食品销售（含冷藏冷冻食品）、散装食品销售（含冷藏冷冻食品）。</w:t>
      </w:r>
    </w:p>
    <w:p>
      <w:pPr>
        <w:widowControl w:val="0"/>
        <w:numPr>
          <w:ilvl w:val="0"/>
          <w:numId w:val="1"/>
        </w:numPr>
        <w:spacing w:line="420" w:lineRule="exact"/>
        <w:ind w:firstLine="480" w:firstLineChars="200"/>
        <w:jc w:val="both"/>
        <w:rPr>
          <w:rFonts w:ascii="宋体" w:hAnsi="宋体" w:cs="宋体"/>
          <w:color w:val="000000"/>
          <w:sz w:val="24"/>
          <w:szCs w:val="24"/>
        </w:rPr>
      </w:pPr>
      <w:r>
        <w:rPr>
          <w:rFonts w:hint="eastAsia" w:ascii="宋体" w:hAnsi="宋体" w:cs="宋体"/>
          <w:color w:val="000000"/>
          <w:sz w:val="24"/>
          <w:szCs w:val="24"/>
        </w:rPr>
        <w:t>投标人若为生产企业，须提供《生猪定点屠宰证》复印件（加盖持证企业公章），原件备查。</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3.投标人若为经销商，须提供与合作生产企业至少1个合作协议（加盖投标人公章、原件备查），生产企业的《生猪定点屠宰证》（加盖持证企业公章，视为投标人该类材料原件）和投标人《食品经营许可证》复印件（加盖投标人公章，原件备查）</w:t>
      </w:r>
    </w:p>
    <w:p>
      <w:pPr>
        <w:spacing w:line="420" w:lineRule="exact"/>
        <w:ind w:firstLine="480" w:firstLineChars="200"/>
        <w:rPr>
          <w:rFonts w:ascii="宋体" w:hAnsi="宋体" w:cs="宋体"/>
          <w:color w:val="000000"/>
        </w:rPr>
      </w:pPr>
      <w:r>
        <w:rPr>
          <w:rFonts w:hint="eastAsia" w:ascii="宋体" w:hAnsi="宋体" w:cs="宋体"/>
          <w:color w:val="000000"/>
          <w:sz w:val="24"/>
          <w:szCs w:val="24"/>
        </w:rPr>
        <w:t>4. 本包须配备一名项目负责人（必须为本单位人员且在服务期限内未经招标人同意不得更换，该负责人负责与供货单位的具体业务联系），提供身份证复印件、社保缴纳证明及公司项目委派信原件。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5. 本项目不接受联合体投标。</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包三：</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1.投标人营业执照的经营范围须包含销售预包装食品。同时投标人《食品经营许可证》许可范围须包含销售预包装食品、散装食品。</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2.投标人若为产品生产企业，须提供有效生产许可证复印件（加盖持证企业公章），原件备查。</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3.投标人若为经销商，须提供与合作生产企业的合作协议（加盖投标人公章、原件备查），生产企业食品生产许可证复印件（加盖持证企业公章，视为投标人该类材料原件）和投标人《食品经营许可证》复印件（加盖投标人公章，原件备查）。</w:t>
      </w:r>
    </w:p>
    <w:p>
      <w:pPr>
        <w:spacing w:line="420" w:lineRule="exact"/>
        <w:ind w:firstLine="480" w:firstLineChars="200"/>
        <w:rPr>
          <w:rFonts w:ascii="宋体" w:hAnsi="宋体" w:cs="宋体"/>
          <w:color w:val="000000"/>
        </w:rPr>
      </w:pPr>
      <w:r>
        <w:rPr>
          <w:rFonts w:hint="eastAsia" w:ascii="宋体" w:hAnsi="宋体" w:cs="宋体"/>
          <w:color w:val="000000"/>
          <w:sz w:val="24"/>
          <w:szCs w:val="24"/>
        </w:rPr>
        <w:t>4.本包须配备一名项目负责人（必须为本单位人员且在服务期限内未经招标人同意不得更换，该负责人负责与供货单位的具体业务联系），提供身份证复印件、社保缴纳证明及公司项目委派信原件。</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5.本项目不接受联合体投标。</w:t>
      </w:r>
    </w:p>
    <w:p>
      <w:pPr>
        <w:spacing w:line="420" w:lineRule="exact"/>
        <w:ind w:firstLine="480" w:firstLineChars="200"/>
        <w:rPr>
          <w:rFonts w:ascii="宋体" w:hAnsi="宋体" w:cs="宋体"/>
          <w:color w:val="000000"/>
          <w:sz w:val="24"/>
          <w:szCs w:val="24"/>
        </w:rPr>
      </w:pPr>
      <w:r>
        <w:rPr>
          <w:rFonts w:hint="eastAsia" w:ascii="宋体" w:hAnsi="宋体" w:cs="宋体"/>
          <w:color w:val="000000"/>
          <w:sz w:val="24"/>
          <w:szCs w:val="24"/>
        </w:rPr>
        <w:t>注：1、投标人如投多个标段，项目负责人可兼任。</w:t>
      </w:r>
    </w:p>
    <w:p>
      <w:pPr>
        <w:spacing w:line="420" w:lineRule="exact"/>
        <w:ind w:firstLine="960" w:firstLineChars="400"/>
        <w:rPr>
          <w:rFonts w:ascii="宋体" w:hAnsi="宋体" w:cs="宋体"/>
          <w:color w:val="000000"/>
          <w:sz w:val="24"/>
          <w:szCs w:val="24"/>
        </w:rPr>
      </w:pPr>
      <w:r>
        <w:rPr>
          <w:rFonts w:hint="eastAsia" w:ascii="宋体" w:hAnsi="宋体" w:cs="宋体"/>
          <w:color w:val="000000"/>
          <w:sz w:val="24"/>
          <w:szCs w:val="24"/>
        </w:rPr>
        <w:t>2、投标人可同时参加多个标段的投标，也可自行选择参加某一标段的投标；一旦中标两个及以上标段，均能成为相应标段的中标人，并同时与招标人签订合同。</w:t>
      </w:r>
    </w:p>
    <w:p>
      <w:pPr>
        <w:spacing w:line="360" w:lineRule="auto"/>
        <w:rPr>
          <w:rFonts w:ascii="宋体" w:cs="Times New Roman"/>
          <w:b/>
          <w:bCs/>
          <w:sz w:val="24"/>
          <w:szCs w:val="24"/>
        </w:rPr>
      </w:pPr>
      <w:r>
        <w:rPr>
          <w:rFonts w:hint="eastAsia" w:ascii="宋体" w:hAnsi="宋体" w:cs="宋体"/>
          <w:b/>
          <w:bCs/>
          <w:sz w:val="24"/>
          <w:szCs w:val="24"/>
        </w:rPr>
        <w:t>五、报名与招标文件获取方式：</w:t>
      </w:r>
    </w:p>
    <w:p>
      <w:pPr>
        <w:spacing w:line="360" w:lineRule="auto"/>
        <w:ind w:firstLine="480" w:firstLineChars="200"/>
        <w:rPr>
          <w:rFonts w:ascii="宋体" w:hAnsi="宋体" w:cs="宋体"/>
          <w:color w:val="auto"/>
          <w:sz w:val="24"/>
          <w:szCs w:val="24"/>
        </w:rPr>
      </w:pPr>
      <w:r>
        <w:rPr>
          <w:rFonts w:hint="eastAsia" w:ascii="宋体" w:hAnsi="宋体" w:cs="宋体"/>
          <w:sz w:val="24"/>
          <w:szCs w:val="24"/>
        </w:rPr>
        <w:t>1.请</w:t>
      </w:r>
      <w:r>
        <w:rPr>
          <w:color w:val="auto"/>
        </w:rPr>
        <w:fldChar w:fldCharType="begin"/>
      </w:r>
      <w:r>
        <w:rPr>
          <w:color w:val="auto"/>
        </w:rPr>
        <w:instrText xml:space="preserve"> HYPERLINK "mailto:投标申请人将本企业授权委托书、营业执照、企业资质证书的扫描件以及邮箱、联系人和联系方式，发送至邮箱jijianchun@cqu.edu.cn。对资料不全或逾期发送的投标报名文件，招标人不予受理。" </w:instrText>
      </w:r>
      <w:r>
        <w:rPr>
          <w:color w:val="auto"/>
        </w:rPr>
        <w:fldChar w:fldCharType="separate"/>
      </w:r>
      <w:r>
        <w:rPr>
          <w:rFonts w:hint="eastAsia" w:ascii="宋体" w:hAnsi="宋体" w:cs="宋体"/>
          <w:color w:val="auto"/>
          <w:sz w:val="24"/>
          <w:szCs w:val="24"/>
        </w:rPr>
        <w:t>申请人于公告发布之日起至报名截止时间，将本企业授权委托书，被委托身份证，营业执照、组织机构代码、税务登记证（以三证合一的投标人只提供带二维码的营业执照）及近3个月完税证明资料、联系人和联系方式以及电子邮箱等相关资格条件扫描件，发送至邮箱</w:t>
      </w:r>
      <w:r>
        <w:rPr>
          <w:rFonts w:hint="eastAsia" w:ascii="宋体" w:hAnsi="宋体" w:cs="宋体"/>
          <w:color w:val="auto"/>
          <w:sz w:val="24"/>
          <w:szCs w:val="24"/>
          <w:lang w:val="en-US" w:eastAsia="zh-CN"/>
        </w:rPr>
        <w:t>597956125@qq.com</w:t>
      </w:r>
      <w:r>
        <w:rPr>
          <w:rFonts w:hint="eastAsia" w:ascii="宋体" w:hAnsi="宋体" w:cs="宋体"/>
          <w:color w:val="auto"/>
          <w:sz w:val="24"/>
          <w:szCs w:val="24"/>
        </w:rPr>
        <w:t>进行资格审查。对资料不全或逾期发送的报名文件，将不予受理。</w:t>
      </w:r>
      <w:r>
        <w:rPr>
          <w:rFonts w:hint="eastAsia" w:ascii="宋体" w:hAnsi="宋体" w:cs="宋体"/>
          <w:color w:val="auto"/>
          <w:sz w:val="24"/>
          <w:szCs w:val="24"/>
        </w:rPr>
        <w:fldChar w:fldCharType="end"/>
      </w:r>
    </w:p>
    <w:p>
      <w:pPr>
        <w:spacing w:line="360" w:lineRule="auto"/>
        <w:ind w:firstLine="480" w:firstLineChars="200"/>
        <w:rPr>
          <w:rFonts w:hint="default" w:ascii="宋体" w:eastAsia="宋体" w:cs="Times New Roman"/>
          <w:sz w:val="24"/>
          <w:szCs w:val="24"/>
          <w:lang w:val="en-US" w:eastAsia="zh-CN"/>
        </w:rPr>
      </w:pPr>
      <w:r>
        <w:rPr>
          <w:rFonts w:hint="eastAsia" w:ascii="宋体" w:hAnsi="宋体" w:cs="宋体"/>
          <w:color w:val="auto"/>
          <w:sz w:val="24"/>
          <w:szCs w:val="24"/>
        </w:rPr>
        <w:t>2.</w:t>
      </w:r>
      <w:r>
        <w:rPr>
          <w:rFonts w:hint="eastAsia" w:ascii="宋体" w:hAnsi="宋体" w:cs="宋体"/>
          <w:color w:val="auto"/>
          <w:sz w:val="24"/>
          <w:szCs w:val="24"/>
          <w:lang w:val="en-US" w:eastAsia="zh-CN"/>
        </w:rPr>
        <w:t>报名及招标文件费每包300元，投标当天现场缴纳（现金）。</w:t>
      </w:r>
    </w:p>
    <w:p>
      <w:pPr>
        <w:spacing w:line="360" w:lineRule="auto"/>
        <w:ind w:firstLine="482" w:firstLineChars="200"/>
        <w:rPr>
          <w:rFonts w:ascii="宋体" w:hAnsi="宋体" w:cs="宋体"/>
          <w:bCs/>
          <w:sz w:val="24"/>
          <w:szCs w:val="24"/>
        </w:rPr>
      </w:pPr>
      <w:r>
        <w:rPr>
          <w:rFonts w:hint="eastAsia" w:ascii="宋体" w:hAnsi="宋体" w:cs="宋体"/>
          <w:b/>
          <w:bCs/>
          <w:sz w:val="24"/>
          <w:szCs w:val="24"/>
        </w:rPr>
        <w:t>3.特别注意</w:t>
      </w:r>
      <w:r>
        <w:rPr>
          <w:rFonts w:hint="eastAsia" w:ascii="宋体" w:hAnsi="宋体" w:cs="宋体"/>
          <w:bCs/>
          <w:sz w:val="24"/>
          <w:szCs w:val="24"/>
        </w:rPr>
        <w:t>：请在备注上填写：</w:t>
      </w:r>
      <w:r>
        <w:rPr>
          <w:rFonts w:hint="eastAsia" w:ascii="宋体" w:hAnsi="宋体" w:cs="宋体"/>
          <w:bCs/>
          <w:sz w:val="24"/>
          <w:szCs w:val="24"/>
          <w:lang w:eastAsia="zh-CN"/>
        </w:rPr>
        <w:t>重庆商务职业学院</w:t>
      </w:r>
      <w:r>
        <w:rPr>
          <w:rFonts w:hint="eastAsia" w:ascii="宋体" w:hAnsi="宋体" w:cs="宋体"/>
          <w:bCs/>
          <w:sz w:val="24"/>
          <w:szCs w:val="24"/>
        </w:rPr>
        <w:t>食堂原材料配送服务入围企业项目投标资料费。</w:t>
      </w:r>
    </w:p>
    <w:p>
      <w:pPr>
        <w:spacing w:line="360" w:lineRule="auto"/>
        <w:ind w:firstLine="480" w:firstLineChars="200"/>
        <w:rPr>
          <w:rFonts w:ascii="宋体" w:hAnsi="宋体" w:cs="宋体"/>
          <w:bCs/>
          <w:sz w:val="24"/>
          <w:szCs w:val="24"/>
        </w:rPr>
      </w:pPr>
      <w:r>
        <w:rPr>
          <w:rFonts w:hint="eastAsia" w:ascii="宋体" w:hAnsi="宋体" w:cs="宋体"/>
          <w:bCs/>
          <w:sz w:val="24"/>
          <w:szCs w:val="24"/>
        </w:rPr>
        <w:t>4.在报名和投标文件发售期内购买了招标文件的配送服务企业，其报名才被接收。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5.交款截止时间：2019年8月</w:t>
      </w:r>
      <w:r>
        <w:rPr>
          <w:rFonts w:hint="eastAsia" w:ascii="宋体" w:hAnsi="宋体" w:cs="宋体"/>
          <w:bCs/>
          <w:color w:val="auto"/>
          <w:sz w:val="24"/>
          <w:szCs w:val="24"/>
          <w:lang w:val="en-US" w:eastAsia="zh-CN"/>
        </w:rPr>
        <w:t>23</w:t>
      </w:r>
      <w:r>
        <w:rPr>
          <w:rFonts w:hint="eastAsia" w:ascii="宋体" w:hAnsi="宋体" w:cs="宋体"/>
          <w:bCs/>
          <w:color w:val="auto"/>
          <w:sz w:val="24"/>
          <w:szCs w:val="24"/>
        </w:rPr>
        <w:t>日1</w:t>
      </w:r>
      <w:r>
        <w:rPr>
          <w:rFonts w:ascii="宋体" w:hAnsi="宋体" w:cs="宋体"/>
          <w:bCs/>
          <w:color w:val="auto"/>
          <w:sz w:val="24"/>
          <w:szCs w:val="24"/>
        </w:rPr>
        <w:t>6</w:t>
      </w:r>
      <w:r>
        <w:rPr>
          <w:rFonts w:hint="eastAsia" w:ascii="宋体" w:hAnsi="宋体" w:cs="宋体"/>
          <w:bCs/>
          <w:color w:val="auto"/>
          <w:sz w:val="24"/>
          <w:szCs w:val="24"/>
        </w:rPr>
        <w:t>:00 前（投标保证金交纳单位名称与报名单位一致，否则视为未交纳，以收款单位到账时间为准）。</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说明：中标单位的投标保证金转为履约保证金，未中标单位无息退还。</w:t>
      </w:r>
    </w:p>
    <w:p>
      <w:pPr>
        <w:spacing w:line="360" w:lineRule="auto"/>
        <w:rPr>
          <w:rFonts w:ascii="宋体" w:cs="Times New Roman"/>
          <w:b/>
          <w:bCs/>
          <w:color w:val="auto"/>
          <w:sz w:val="24"/>
          <w:szCs w:val="24"/>
        </w:rPr>
      </w:pPr>
      <w:r>
        <w:rPr>
          <w:rFonts w:hint="eastAsia" w:ascii="宋体" w:hAnsi="宋体" w:cs="宋体"/>
          <w:b/>
          <w:bCs/>
          <w:color w:val="auto"/>
          <w:sz w:val="24"/>
          <w:szCs w:val="24"/>
        </w:rPr>
        <w:t>六、报名起止时间</w:t>
      </w:r>
    </w:p>
    <w:p>
      <w:pPr>
        <w:spacing w:line="360" w:lineRule="auto"/>
        <w:ind w:firstLine="555"/>
        <w:rPr>
          <w:rFonts w:hint="eastAsia" w:ascii="宋体" w:eastAsia="宋体" w:cs="Times New Roman"/>
          <w:color w:val="auto"/>
          <w:sz w:val="24"/>
          <w:szCs w:val="24"/>
          <w:lang w:eastAsia="zh-CN"/>
        </w:rPr>
      </w:pPr>
      <w:r>
        <w:rPr>
          <w:rFonts w:ascii="宋体" w:hAnsi="宋体" w:cs="宋体"/>
          <w:color w:val="auto"/>
          <w:sz w:val="24"/>
          <w:szCs w:val="24"/>
        </w:rPr>
        <w:t>2019</w:t>
      </w:r>
      <w:r>
        <w:rPr>
          <w:rFonts w:hint="eastAsia" w:ascii="宋体" w:hAnsi="宋体" w:cs="宋体"/>
          <w:color w:val="auto"/>
          <w:sz w:val="24"/>
          <w:szCs w:val="24"/>
        </w:rPr>
        <w:t>年8月</w:t>
      </w:r>
      <w:r>
        <w:rPr>
          <w:rFonts w:hint="eastAsia" w:ascii="宋体" w:hAnsi="宋体" w:cs="宋体"/>
          <w:color w:val="auto"/>
          <w:sz w:val="24"/>
          <w:szCs w:val="24"/>
          <w:lang w:val="en-US" w:eastAsia="zh-CN"/>
        </w:rPr>
        <w:t>21</w:t>
      </w:r>
      <w:r>
        <w:rPr>
          <w:rFonts w:hint="eastAsia" w:ascii="宋体" w:hAnsi="宋体" w:cs="宋体"/>
          <w:color w:val="auto"/>
          <w:sz w:val="24"/>
          <w:szCs w:val="24"/>
        </w:rPr>
        <w:t>日至</w:t>
      </w:r>
      <w:r>
        <w:rPr>
          <w:rFonts w:ascii="宋体" w:hAnsi="宋体" w:cs="宋体"/>
          <w:color w:val="auto"/>
          <w:sz w:val="24"/>
          <w:szCs w:val="24"/>
        </w:rPr>
        <w:t xml:space="preserve"> 2019 </w:t>
      </w:r>
      <w:r>
        <w:rPr>
          <w:rFonts w:hint="eastAsia" w:ascii="宋体" w:hAnsi="宋体" w:cs="宋体"/>
          <w:color w:val="auto"/>
          <w:sz w:val="24"/>
          <w:szCs w:val="24"/>
        </w:rPr>
        <w:t>年8月</w:t>
      </w:r>
      <w:r>
        <w:rPr>
          <w:rFonts w:hint="eastAsia" w:ascii="宋体" w:hAnsi="宋体" w:cs="宋体"/>
          <w:color w:val="auto"/>
          <w:sz w:val="24"/>
          <w:szCs w:val="24"/>
          <w:lang w:val="en-US" w:eastAsia="zh-CN"/>
        </w:rPr>
        <w:t>23</w:t>
      </w:r>
      <w:r>
        <w:rPr>
          <w:rFonts w:hint="eastAsia" w:ascii="宋体" w:hAnsi="宋体" w:cs="宋体"/>
          <w:color w:val="auto"/>
          <w:sz w:val="24"/>
          <w:szCs w:val="24"/>
        </w:rPr>
        <w:t>日1</w:t>
      </w:r>
      <w:r>
        <w:rPr>
          <w:rFonts w:ascii="宋体" w:hAnsi="宋体" w:cs="宋体"/>
          <w:color w:val="auto"/>
          <w:sz w:val="24"/>
          <w:szCs w:val="24"/>
        </w:rPr>
        <w:t>6:00</w:t>
      </w:r>
      <w:r>
        <w:rPr>
          <w:rFonts w:hint="eastAsia" w:ascii="宋体" w:hAnsi="宋体" w:cs="宋体"/>
          <w:color w:val="auto"/>
          <w:sz w:val="24"/>
          <w:szCs w:val="24"/>
        </w:rPr>
        <w:t>点以前。</w:t>
      </w:r>
    </w:p>
    <w:p>
      <w:pPr>
        <w:spacing w:line="360" w:lineRule="auto"/>
        <w:rPr>
          <w:rFonts w:ascii="宋体" w:cs="Times New Roman"/>
          <w:b/>
          <w:bCs/>
          <w:color w:val="auto"/>
          <w:sz w:val="24"/>
          <w:szCs w:val="24"/>
        </w:rPr>
      </w:pPr>
      <w:r>
        <w:rPr>
          <w:rFonts w:hint="eastAsia" w:ascii="宋体" w:hAnsi="宋体" w:cs="宋体"/>
          <w:b/>
          <w:bCs/>
          <w:color w:val="auto"/>
          <w:sz w:val="24"/>
          <w:szCs w:val="24"/>
        </w:rPr>
        <w:t>七、开标时间：</w:t>
      </w:r>
    </w:p>
    <w:p>
      <w:pPr>
        <w:spacing w:line="360" w:lineRule="auto"/>
        <w:ind w:firstLine="588" w:firstLineChars="245"/>
        <w:rPr>
          <w:rFonts w:ascii="宋体" w:cs="Times New Roman"/>
          <w:color w:val="auto"/>
          <w:sz w:val="24"/>
          <w:szCs w:val="24"/>
        </w:rPr>
      </w:pPr>
      <w:r>
        <w:rPr>
          <w:rFonts w:ascii="宋体" w:hAnsi="宋体" w:cs="宋体"/>
          <w:color w:val="auto"/>
          <w:sz w:val="24"/>
          <w:szCs w:val="24"/>
        </w:rPr>
        <w:t>2019</w:t>
      </w:r>
      <w:r>
        <w:rPr>
          <w:rFonts w:hint="eastAsia" w:ascii="宋体" w:hAnsi="宋体" w:cs="宋体"/>
          <w:color w:val="auto"/>
          <w:sz w:val="24"/>
          <w:szCs w:val="24"/>
        </w:rPr>
        <w:t>年</w:t>
      </w:r>
      <w:r>
        <w:rPr>
          <w:rFonts w:ascii="宋体" w:hAnsi="宋体" w:cs="宋体"/>
          <w:color w:val="auto"/>
          <w:sz w:val="24"/>
          <w:szCs w:val="24"/>
        </w:rPr>
        <w:t>8</w:t>
      </w:r>
      <w:r>
        <w:rPr>
          <w:rFonts w:hint="eastAsia" w:ascii="宋体" w:hAnsi="宋体" w:cs="宋体"/>
          <w:color w:val="auto"/>
          <w:sz w:val="24"/>
          <w:szCs w:val="24"/>
        </w:rPr>
        <w:t>月</w:t>
      </w:r>
      <w:r>
        <w:rPr>
          <w:rFonts w:hint="eastAsia" w:ascii="宋体" w:hAnsi="宋体" w:cs="宋体"/>
          <w:color w:val="auto"/>
          <w:sz w:val="24"/>
          <w:szCs w:val="24"/>
          <w:lang w:val="en-US" w:eastAsia="zh-CN"/>
        </w:rPr>
        <w:t>24</w:t>
      </w:r>
      <w:r>
        <w:rPr>
          <w:rFonts w:hint="eastAsia" w:ascii="宋体" w:hAnsi="宋体" w:cs="宋体"/>
          <w:color w:val="auto"/>
          <w:sz w:val="24"/>
          <w:szCs w:val="24"/>
        </w:rPr>
        <w:t>日</w:t>
      </w:r>
      <w:r>
        <w:rPr>
          <w:rFonts w:ascii="宋体" w:hAnsi="宋体" w:cs="宋体"/>
          <w:color w:val="auto"/>
          <w:sz w:val="24"/>
          <w:szCs w:val="24"/>
        </w:rPr>
        <w:t>10:00</w:t>
      </w:r>
      <w:r>
        <w:rPr>
          <w:rFonts w:hint="eastAsia" w:ascii="宋体" w:hAnsi="宋体" w:cs="宋体"/>
          <w:color w:val="auto"/>
          <w:sz w:val="24"/>
          <w:szCs w:val="24"/>
        </w:rPr>
        <w:t>，逾期送达的投标文件恕不接受。本次招标不接受邮寄的投标文件。</w:t>
      </w:r>
    </w:p>
    <w:p>
      <w:pPr>
        <w:spacing w:line="360" w:lineRule="auto"/>
        <w:ind w:firstLine="472" w:firstLineChars="196"/>
        <w:rPr>
          <w:rFonts w:hint="eastAsia" w:ascii="宋体" w:hAnsi="宋体" w:eastAsia="宋体" w:cs="宋体"/>
          <w:color w:val="auto"/>
          <w:sz w:val="24"/>
          <w:szCs w:val="24"/>
          <w:lang w:eastAsia="zh-CN"/>
        </w:rPr>
      </w:pPr>
      <w:r>
        <w:rPr>
          <w:rFonts w:hint="eastAsia" w:ascii="宋体" w:hAnsi="宋体" w:cs="宋体"/>
          <w:b/>
          <w:bCs/>
          <w:color w:val="auto"/>
          <w:sz w:val="24"/>
          <w:szCs w:val="24"/>
        </w:rPr>
        <w:t>开标地点：</w:t>
      </w:r>
      <w:r>
        <w:rPr>
          <w:rFonts w:hint="eastAsia" w:ascii="宋体" w:hAnsi="宋体" w:cs="宋体"/>
          <w:b/>
          <w:bCs/>
          <w:color w:val="auto"/>
          <w:sz w:val="24"/>
          <w:szCs w:val="24"/>
          <w:lang w:eastAsia="zh-CN"/>
        </w:rPr>
        <w:t>重庆商务职业学院</w:t>
      </w:r>
    </w:p>
    <w:p>
      <w:pPr>
        <w:spacing w:line="360" w:lineRule="auto"/>
        <w:rPr>
          <w:rFonts w:hint="eastAsia" w:ascii="宋体" w:hAnsi="宋体" w:eastAsia="宋体" w:cs="宋体"/>
          <w:bCs/>
          <w:color w:val="auto"/>
          <w:sz w:val="24"/>
          <w:szCs w:val="24"/>
          <w:lang w:val="en-US" w:eastAsia="zh-CN"/>
        </w:rPr>
      </w:pPr>
      <w:r>
        <w:rPr>
          <w:rFonts w:hint="eastAsia" w:ascii="宋体" w:hAnsi="宋体" w:cs="宋体"/>
          <w:b/>
          <w:bCs/>
          <w:color w:val="auto"/>
          <w:sz w:val="24"/>
          <w:szCs w:val="24"/>
        </w:rPr>
        <w:t>八、联系方式：</w:t>
      </w:r>
      <w:r>
        <w:rPr>
          <w:rFonts w:hint="eastAsia" w:ascii="宋体" w:hAnsi="宋体" w:cs="宋体"/>
          <w:bCs/>
          <w:color w:val="auto"/>
          <w:sz w:val="24"/>
          <w:szCs w:val="24"/>
        </w:rPr>
        <w:t>电话：</w:t>
      </w:r>
      <w:r>
        <w:rPr>
          <w:rFonts w:hint="eastAsia" w:ascii="宋体" w:hAnsi="宋体" w:cs="宋体"/>
          <w:bCs/>
          <w:color w:val="auto"/>
          <w:sz w:val="24"/>
          <w:szCs w:val="24"/>
          <w:lang w:val="en-US" w:eastAsia="zh-CN"/>
        </w:rPr>
        <w:t>13594176770</w:t>
      </w:r>
      <w:r>
        <w:rPr>
          <w:rFonts w:hint="eastAsia" w:ascii="宋体" w:hAnsi="宋体" w:cs="宋体"/>
          <w:color w:val="auto"/>
          <w:sz w:val="24"/>
          <w:szCs w:val="24"/>
        </w:rPr>
        <w:t>联系人：</w:t>
      </w:r>
      <w:r>
        <w:rPr>
          <w:rFonts w:hint="eastAsia" w:ascii="宋体" w:hAnsi="宋体" w:cs="宋体"/>
          <w:color w:val="auto"/>
          <w:sz w:val="24"/>
          <w:szCs w:val="24"/>
          <w:lang w:eastAsia="zh-CN"/>
        </w:rPr>
        <w:t>周老师</w:t>
      </w:r>
    </w:p>
    <w:p>
      <w:pPr>
        <w:wordWrap w:val="0"/>
        <w:spacing w:line="360" w:lineRule="auto"/>
        <w:rPr>
          <w:rFonts w:hint="eastAsia" w:ascii="宋体" w:hAnsi="宋体" w:cs="宋体"/>
          <w:b/>
          <w:bCs/>
          <w:color w:val="auto"/>
          <w:sz w:val="24"/>
          <w:szCs w:val="24"/>
        </w:rPr>
      </w:pPr>
      <w:r>
        <w:rPr>
          <w:rFonts w:hint="eastAsia" w:ascii="宋体" w:hAnsi="宋体" w:cs="宋体"/>
          <w:b/>
          <w:bCs/>
          <w:color w:val="auto"/>
          <w:sz w:val="24"/>
          <w:szCs w:val="24"/>
        </w:rPr>
        <w:t>九、本次投标邀请在</w:t>
      </w:r>
      <w:r>
        <w:rPr>
          <w:rFonts w:hint="eastAsia" w:ascii="宋体" w:hAnsi="宋体" w:cs="宋体"/>
          <w:b/>
          <w:bCs w:val="0"/>
          <w:color w:val="auto"/>
          <w:sz w:val="24"/>
          <w:szCs w:val="24"/>
          <w:lang w:eastAsia="zh-CN"/>
        </w:rPr>
        <w:t>重庆莘莘餐饮管理有限公司官网http://www.cqsscy.com</w:t>
      </w:r>
      <w:r>
        <w:rPr>
          <w:rFonts w:hint="eastAsia" w:ascii="宋体" w:hAnsi="宋体" w:cs="宋体"/>
          <w:b/>
          <w:bCs/>
          <w:color w:val="auto"/>
          <w:sz w:val="24"/>
          <w:szCs w:val="24"/>
        </w:rPr>
        <w:t>上以公告形式发布</w:t>
      </w:r>
    </w:p>
    <w:p>
      <w:pPr>
        <w:wordWrap w:val="0"/>
        <w:spacing w:line="360" w:lineRule="auto"/>
        <w:rPr>
          <w:rFonts w:hint="eastAsia" w:ascii="宋体" w:hAnsi="宋体" w:cs="宋体"/>
          <w:b/>
          <w:bCs/>
          <w:color w:val="auto"/>
          <w:sz w:val="24"/>
          <w:szCs w:val="24"/>
        </w:rPr>
      </w:pPr>
    </w:p>
    <w:p>
      <w:pPr>
        <w:spacing w:line="360" w:lineRule="auto"/>
        <w:ind w:right="600"/>
        <w:jc w:val="center"/>
        <w:rPr>
          <w:rFonts w:hint="eastAsia" w:ascii="宋体" w:eastAsia="宋体" w:cs="Times New Roman"/>
          <w:color w:val="auto"/>
          <w:sz w:val="24"/>
          <w:szCs w:val="24"/>
          <w:lang w:eastAsia="zh-CN"/>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重庆</w:t>
      </w:r>
      <w:r>
        <w:rPr>
          <w:rFonts w:hint="eastAsia" w:ascii="宋体" w:hAnsi="宋体" w:cs="宋体"/>
          <w:color w:val="auto"/>
          <w:sz w:val="24"/>
          <w:szCs w:val="24"/>
          <w:lang w:eastAsia="zh-CN"/>
        </w:rPr>
        <w:t>莘莘餐饮管理有限公司</w:t>
      </w:r>
    </w:p>
    <w:p>
      <w:pPr>
        <w:spacing w:line="360" w:lineRule="auto"/>
        <w:ind w:right="360" w:firstLine="6240" w:firstLineChars="2600"/>
        <w:jc w:val="both"/>
        <w:rPr>
          <w:rFonts w:hint="eastAsia" w:ascii="宋体" w:hAnsi="宋体" w:cs="宋体"/>
          <w:color w:val="auto"/>
          <w:sz w:val="24"/>
          <w:szCs w:val="24"/>
        </w:rPr>
      </w:pPr>
      <w:r>
        <w:rPr>
          <w:rFonts w:ascii="宋体" w:hAnsi="宋体" w:cs="宋体"/>
          <w:color w:val="auto"/>
          <w:sz w:val="24"/>
          <w:szCs w:val="24"/>
        </w:rPr>
        <w:t>2019</w:t>
      </w:r>
      <w:r>
        <w:rPr>
          <w:rFonts w:hint="eastAsia" w:ascii="宋体" w:hAnsi="宋体" w:cs="宋体"/>
          <w:color w:val="auto"/>
          <w:sz w:val="24"/>
          <w:szCs w:val="24"/>
        </w:rPr>
        <w:t>年8月</w:t>
      </w:r>
      <w:r>
        <w:rPr>
          <w:rFonts w:hint="eastAsia" w:ascii="宋体" w:hAnsi="宋体" w:cs="宋体"/>
          <w:color w:val="auto"/>
          <w:sz w:val="24"/>
          <w:szCs w:val="24"/>
          <w:lang w:val="en-US" w:eastAsia="zh-CN"/>
        </w:rPr>
        <w:t>21</w:t>
      </w:r>
      <w:r>
        <w:rPr>
          <w:rFonts w:hint="eastAsia" w:ascii="宋体" w:hAnsi="宋体" w:cs="宋体"/>
          <w:color w:val="auto"/>
          <w:sz w:val="24"/>
          <w:szCs w:val="24"/>
        </w:rPr>
        <w:t>日</w:t>
      </w:r>
    </w:p>
    <w:p>
      <w:pPr>
        <w:spacing w:line="360" w:lineRule="auto"/>
        <w:ind w:right="360"/>
        <w:jc w:val="right"/>
        <w:rPr>
          <w:rFonts w:hint="eastAsia" w:ascii="宋体" w:hAnsi="宋体" w:cs="宋体"/>
          <w:color w:val="auto"/>
          <w:sz w:val="24"/>
          <w:szCs w:val="24"/>
        </w:rPr>
      </w:pPr>
    </w:p>
    <w:p>
      <w:pPr>
        <w:spacing w:line="360" w:lineRule="auto"/>
        <w:ind w:right="360"/>
        <w:jc w:val="right"/>
        <w:rPr>
          <w:rFonts w:hint="eastAsia" w:ascii="宋体" w:hAnsi="宋体" w:cs="宋体"/>
          <w:color w:val="auto"/>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spacing w:line="360" w:lineRule="auto"/>
        <w:ind w:right="360"/>
        <w:jc w:val="right"/>
        <w:rPr>
          <w:rFonts w:hint="eastAsia" w:ascii="宋体" w:hAnsi="宋体" w:cs="宋体"/>
          <w:sz w:val="24"/>
          <w:szCs w:val="24"/>
        </w:rPr>
      </w:pPr>
    </w:p>
    <w:p>
      <w:pPr>
        <w:tabs>
          <w:tab w:val="left" w:pos="460"/>
        </w:tabs>
        <w:spacing w:line="360" w:lineRule="auto"/>
        <w:jc w:val="center"/>
        <w:rPr>
          <w:rFonts w:ascii="宋体" w:hAnsi="宋体" w:cs="宋体"/>
          <w:b/>
          <w:bCs/>
          <w:sz w:val="28"/>
          <w:szCs w:val="28"/>
        </w:rPr>
      </w:pPr>
      <w:r>
        <w:rPr>
          <w:rFonts w:hint="eastAsia" w:ascii="宋体" w:hAnsi="宋体" w:cs="宋体"/>
          <w:b/>
          <w:bCs/>
          <w:sz w:val="32"/>
          <w:szCs w:val="32"/>
        </w:rPr>
        <w:t xml:space="preserve">第二章 </w:t>
      </w:r>
      <w:r>
        <w:rPr>
          <w:rFonts w:hint="eastAsia" w:ascii="宋体" w:cs="Times New Roman"/>
          <w:b/>
          <w:bCs/>
          <w:sz w:val="28"/>
          <w:szCs w:val="28"/>
        </w:rPr>
        <w:t>配送服务企业</w:t>
      </w:r>
      <w:r>
        <w:rPr>
          <w:rFonts w:hint="eastAsia" w:ascii="宋体" w:hAnsi="宋体" w:cs="宋体"/>
          <w:b/>
          <w:bCs/>
          <w:sz w:val="28"/>
          <w:szCs w:val="28"/>
        </w:rPr>
        <w:t>须知</w:t>
      </w:r>
    </w:p>
    <w:p>
      <w:pPr>
        <w:tabs>
          <w:tab w:val="left" w:pos="460"/>
        </w:tabs>
        <w:spacing w:line="360" w:lineRule="auto"/>
        <w:jc w:val="center"/>
        <w:rPr>
          <w:rFonts w:ascii="宋体" w:cs="Times New Roman"/>
          <w:b/>
          <w:bCs/>
          <w:sz w:val="28"/>
          <w:szCs w:val="28"/>
        </w:rPr>
      </w:pPr>
      <w:r>
        <w:rPr>
          <w:rFonts w:hint="eastAsia" w:ascii="宋体" w:hAnsi="宋体" w:cs="宋体"/>
          <w:b/>
          <w:bCs/>
          <w:sz w:val="28"/>
          <w:szCs w:val="28"/>
        </w:rPr>
        <w:t>一、</w:t>
      </w:r>
      <w:r>
        <w:rPr>
          <w:rFonts w:hint="eastAsia" w:ascii="宋体" w:cs="Times New Roman"/>
          <w:b/>
          <w:bCs/>
          <w:sz w:val="28"/>
          <w:szCs w:val="28"/>
        </w:rPr>
        <w:t>配送服务企业</w:t>
      </w:r>
      <w:r>
        <w:rPr>
          <w:rFonts w:hint="eastAsia" w:ascii="宋体" w:hAnsi="宋体" w:cs="宋体"/>
          <w:b/>
          <w:bCs/>
          <w:sz w:val="28"/>
          <w:szCs w:val="28"/>
        </w:rPr>
        <w:t>须知前附表</w:t>
      </w:r>
    </w:p>
    <w:tbl>
      <w:tblPr>
        <w:tblStyle w:val="25"/>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506"/>
        <w:gridCol w:w="6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04" w:type="dxa"/>
            <w:vAlign w:val="center"/>
          </w:tcPr>
          <w:p>
            <w:pPr>
              <w:spacing w:line="360" w:lineRule="auto"/>
              <w:jc w:val="center"/>
              <w:rPr>
                <w:rFonts w:ascii="宋体" w:cs="Times New Roman"/>
                <w:b/>
                <w:bCs/>
                <w:sz w:val="21"/>
                <w:szCs w:val="21"/>
              </w:rPr>
            </w:pPr>
            <w:r>
              <w:rPr>
                <w:rFonts w:hint="eastAsia" w:ascii="宋体" w:hAnsi="宋体" w:cs="宋体"/>
                <w:b/>
                <w:bCs/>
                <w:sz w:val="21"/>
                <w:szCs w:val="21"/>
              </w:rPr>
              <w:t>序号</w:t>
            </w:r>
          </w:p>
        </w:tc>
        <w:tc>
          <w:tcPr>
            <w:tcW w:w="1506" w:type="dxa"/>
            <w:vAlign w:val="center"/>
          </w:tcPr>
          <w:p>
            <w:pPr>
              <w:spacing w:line="360" w:lineRule="auto"/>
              <w:jc w:val="center"/>
              <w:rPr>
                <w:rFonts w:ascii="宋体" w:cs="Times New Roman"/>
                <w:b/>
                <w:bCs/>
                <w:sz w:val="21"/>
                <w:szCs w:val="21"/>
              </w:rPr>
            </w:pPr>
            <w:r>
              <w:rPr>
                <w:rFonts w:hint="eastAsia" w:ascii="宋体" w:hAnsi="宋体" w:cs="宋体"/>
                <w:b/>
                <w:bCs/>
                <w:sz w:val="21"/>
                <w:szCs w:val="21"/>
              </w:rPr>
              <w:t>条款名称</w:t>
            </w:r>
          </w:p>
        </w:tc>
        <w:tc>
          <w:tcPr>
            <w:tcW w:w="6850" w:type="dxa"/>
            <w:vAlign w:val="center"/>
          </w:tcPr>
          <w:p>
            <w:pPr>
              <w:spacing w:line="360" w:lineRule="auto"/>
              <w:jc w:val="center"/>
              <w:rPr>
                <w:rFonts w:ascii="宋体" w:cs="Times New Roman"/>
                <w:b/>
                <w:bCs/>
                <w:sz w:val="21"/>
                <w:szCs w:val="21"/>
              </w:rPr>
            </w:pPr>
            <w:r>
              <w:rPr>
                <w:rFonts w:hint="eastAsia" w:ascii="宋体" w:hAnsi="宋体" w:cs="宋体"/>
                <w:b/>
                <w:bCs/>
                <w:sz w:val="21"/>
                <w:szCs w:val="21"/>
              </w:rPr>
              <w:t>说明要求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04" w:type="dxa"/>
            <w:vAlign w:val="center"/>
          </w:tcPr>
          <w:p>
            <w:pPr>
              <w:spacing w:line="360" w:lineRule="auto"/>
              <w:jc w:val="center"/>
              <w:rPr>
                <w:rFonts w:ascii="宋体" w:cs="Times New Roman"/>
                <w:b/>
                <w:bCs/>
              </w:rPr>
            </w:pPr>
            <w:r>
              <w:rPr>
                <w:rFonts w:ascii="宋体" w:hAnsi="宋体" w:cs="宋体"/>
                <w:b/>
                <w:bCs/>
              </w:rPr>
              <w:t>1</w:t>
            </w:r>
          </w:p>
        </w:tc>
        <w:tc>
          <w:tcPr>
            <w:tcW w:w="1506" w:type="dxa"/>
            <w:vAlign w:val="center"/>
          </w:tcPr>
          <w:p>
            <w:pPr>
              <w:spacing w:line="360" w:lineRule="auto"/>
              <w:jc w:val="center"/>
              <w:rPr>
                <w:rFonts w:ascii="宋体" w:cs="Times New Roman"/>
              </w:rPr>
            </w:pPr>
            <w:r>
              <w:rPr>
                <w:rFonts w:hint="eastAsia" w:ascii="宋体" w:hAnsi="宋体" w:cs="宋体"/>
              </w:rPr>
              <w:t>标的</w:t>
            </w:r>
          </w:p>
        </w:tc>
        <w:tc>
          <w:tcPr>
            <w:tcW w:w="6850" w:type="dxa"/>
            <w:vAlign w:val="center"/>
          </w:tcPr>
          <w:p>
            <w:pPr>
              <w:spacing w:line="360" w:lineRule="auto"/>
              <w:ind w:right="-106" w:rightChars="-53"/>
              <w:jc w:val="both"/>
              <w:rPr>
                <w:rFonts w:ascii="宋体" w:cs="Times New Roman"/>
                <w:color w:val="auto"/>
              </w:rPr>
            </w:pPr>
            <w:r>
              <w:rPr>
                <w:rFonts w:hint="eastAsia" w:ascii="宋体" w:hAnsi="宋体" w:cs="宋体"/>
                <w:color w:val="auto"/>
              </w:rPr>
              <w:t>参照第三章采购项目技术及商务要求执行。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04" w:type="dxa"/>
            <w:vAlign w:val="center"/>
          </w:tcPr>
          <w:p>
            <w:pPr>
              <w:spacing w:line="360" w:lineRule="auto"/>
              <w:jc w:val="center"/>
              <w:rPr>
                <w:rFonts w:ascii="宋体" w:cs="Times New Roman"/>
                <w:b/>
                <w:bCs/>
              </w:rPr>
            </w:pPr>
            <w:r>
              <w:rPr>
                <w:rFonts w:ascii="宋体" w:hAnsi="宋体" w:cs="宋体"/>
                <w:b/>
                <w:bCs/>
              </w:rPr>
              <w:t>2</w:t>
            </w:r>
          </w:p>
        </w:tc>
        <w:tc>
          <w:tcPr>
            <w:tcW w:w="1506" w:type="dxa"/>
            <w:vAlign w:val="center"/>
          </w:tcPr>
          <w:p>
            <w:pPr>
              <w:spacing w:line="360" w:lineRule="auto"/>
              <w:jc w:val="center"/>
              <w:rPr>
                <w:rFonts w:ascii="宋体" w:cs="Times New Roman"/>
              </w:rPr>
            </w:pPr>
            <w:r>
              <w:rPr>
                <w:rFonts w:hint="eastAsia" w:ascii="宋体" w:hAnsi="宋体" w:cs="宋体"/>
              </w:rPr>
              <w:t>采购项目名称</w:t>
            </w:r>
          </w:p>
        </w:tc>
        <w:tc>
          <w:tcPr>
            <w:tcW w:w="6850" w:type="dxa"/>
            <w:vAlign w:val="center"/>
          </w:tcPr>
          <w:p>
            <w:pPr>
              <w:spacing w:line="360" w:lineRule="auto"/>
              <w:rPr>
                <w:rFonts w:ascii="宋体" w:cs="Times New Roman"/>
                <w:color w:val="auto"/>
              </w:rPr>
            </w:pPr>
            <w:r>
              <w:rPr>
                <w:rFonts w:hint="eastAsia" w:ascii="宋体" w:hAnsi="宋体" w:cs="宋体"/>
                <w:color w:val="auto"/>
                <w:lang w:eastAsia="zh-CN"/>
              </w:rPr>
              <w:t>重庆商务职业学院</w:t>
            </w:r>
            <w:r>
              <w:rPr>
                <w:rFonts w:hint="eastAsia" w:ascii="宋体" w:hAnsi="宋体" w:cs="宋体"/>
                <w:color w:val="auto"/>
              </w:rPr>
              <w:t>食堂原材料配送服务入围企业招标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804" w:type="dxa"/>
            <w:vAlign w:val="center"/>
          </w:tcPr>
          <w:p>
            <w:pPr>
              <w:spacing w:line="360" w:lineRule="auto"/>
              <w:jc w:val="center"/>
              <w:rPr>
                <w:rFonts w:hint="eastAsia" w:ascii="宋体" w:eastAsia="宋体" w:cs="Times New Roman"/>
                <w:b/>
                <w:bCs/>
                <w:lang w:eastAsia="zh-CN"/>
              </w:rPr>
            </w:pPr>
            <w:r>
              <w:rPr>
                <w:rFonts w:hint="eastAsia" w:ascii="宋体" w:hAnsi="宋体" w:cs="宋体"/>
                <w:b/>
                <w:bCs/>
                <w:lang w:val="en-US" w:eastAsia="zh-CN"/>
              </w:rPr>
              <w:t>3</w:t>
            </w:r>
          </w:p>
        </w:tc>
        <w:tc>
          <w:tcPr>
            <w:tcW w:w="1506" w:type="dxa"/>
            <w:vAlign w:val="center"/>
          </w:tcPr>
          <w:p>
            <w:pPr>
              <w:spacing w:line="360" w:lineRule="auto"/>
              <w:jc w:val="center"/>
              <w:rPr>
                <w:rFonts w:ascii="宋体" w:cs="Times New Roman"/>
              </w:rPr>
            </w:pPr>
            <w:r>
              <w:rPr>
                <w:rFonts w:hint="eastAsia" w:ascii="宋体" w:hAnsi="宋体" w:cs="宋体"/>
              </w:rPr>
              <w:t>采购方式</w:t>
            </w:r>
          </w:p>
        </w:tc>
        <w:tc>
          <w:tcPr>
            <w:tcW w:w="6850" w:type="dxa"/>
            <w:vAlign w:val="center"/>
          </w:tcPr>
          <w:p>
            <w:pPr>
              <w:spacing w:line="360" w:lineRule="auto"/>
              <w:rPr>
                <w:rFonts w:ascii="宋体" w:cs="Times New Roman"/>
                <w:color w:val="auto"/>
              </w:rPr>
            </w:pPr>
            <w:r>
              <w:rPr>
                <w:rFonts w:hint="eastAsia" w:ascii="宋体" w:hAnsi="宋体" w:cs="宋体"/>
                <w:color w:val="auto"/>
              </w:rPr>
              <w:t>公开招标（本次招标合同期限为</w:t>
            </w:r>
            <w:r>
              <w:rPr>
                <w:rFonts w:hint="eastAsia" w:ascii="宋体" w:hAnsi="宋体" w:cs="宋体"/>
                <w:color w:val="auto"/>
                <w:lang w:eastAsia="zh-CN"/>
              </w:rPr>
              <w:t>壹年</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804" w:type="dxa"/>
            <w:vAlign w:val="center"/>
          </w:tcPr>
          <w:p>
            <w:pPr>
              <w:spacing w:line="360" w:lineRule="auto"/>
              <w:jc w:val="center"/>
              <w:rPr>
                <w:rFonts w:hint="eastAsia" w:ascii="宋体" w:eastAsia="宋体" w:cs="Times New Roman"/>
                <w:b/>
                <w:bCs/>
                <w:lang w:eastAsia="zh-CN"/>
              </w:rPr>
            </w:pPr>
            <w:r>
              <w:rPr>
                <w:rFonts w:hint="eastAsia" w:ascii="宋体" w:hAnsi="宋体" w:cs="宋体"/>
                <w:b/>
                <w:bCs/>
                <w:lang w:val="en-US" w:eastAsia="zh-CN"/>
              </w:rPr>
              <w:t>4</w:t>
            </w:r>
          </w:p>
        </w:tc>
        <w:tc>
          <w:tcPr>
            <w:tcW w:w="1506" w:type="dxa"/>
            <w:vAlign w:val="center"/>
          </w:tcPr>
          <w:p>
            <w:pPr>
              <w:spacing w:line="360" w:lineRule="auto"/>
              <w:jc w:val="center"/>
              <w:rPr>
                <w:rFonts w:ascii="宋体" w:cs="Times New Roman"/>
              </w:rPr>
            </w:pPr>
            <w:r>
              <w:rPr>
                <w:rFonts w:hint="eastAsia" w:ascii="宋体" w:hAnsi="宋体" w:cs="宋体"/>
              </w:rPr>
              <w:t>投标保证金</w:t>
            </w:r>
          </w:p>
        </w:tc>
        <w:tc>
          <w:tcPr>
            <w:tcW w:w="6850" w:type="dxa"/>
            <w:vAlign w:val="center"/>
          </w:tcPr>
          <w:p>
            <w:pPr>
              <w:spacing w:line="360" w:lineRule="auto"/>
              <w:rPr>
                <w:rFonts w:hint="eastAsia" w:ascii="宋体" w:hAnsi="宋体" w:cs="宋体"/>
                <w:b/>
                <w:color w:val="auto"/>
              </w:rPr>
            </w:pPr>
            <w:r>
              <w:rPr>
                <w:rFonts w:hint="eastAsia" w:ascii="宋体" w:hAnsi="宋体" w:cs="宋体"/>
                <w:color w:val="auto"/>
              </w:rPr>
              <w:t>保证金金额</w:t>
            </w:r>
            <w:r>
              <w:rPr>
                <w:rFonts w:ascii="宋体" w:hAnsi="宋体" w:cs="宋体"/>
                <w:color w:val="auto"/>
              </w:rPr>
              <w:t>:</w:t>
            </w:r>
            <w:r>
              <w:rPr>
                <w:rFonts w:hint="eastAsia" w:ascii="宋体" w:hAnsi="宋体" w:cs="宋体"/>
                <w:b/>
                <w:color w:val="auto"/>
                <w:lang w:eastAsia="zh-CN"/>
              </w:rPr>
              <w:t>壹万</w:t>
            </w:r>
            <w:r>
              <w:rPr>
                <w:rFonts w:hint="eastAsia" w:ascii="宋体" w:hAnsi="宋体" w:cs="宋体"/>
                <w:b/>
                <w:color w:val="auto"/>
              </w:rPr>
              <w:t>元整；</w:t>
            </w:r>
          </w:p>
          <w:p>
            <w:pPr>
              <w:spacing w:line="360" w:lineRule="auto"/>
              <w:rPr>
                <w:rFonts w:hint="default" w:ascii="宋体" w:eastAsia="宋体" w:cs="Times New Roman"/>
                <w:color w:val="auto"/>
                <w:lang w:val="en-US" w:eastAsia="zh-CN"/>
              </w:rPr>
            </w:pPr>
            <w:r>
              <w:rPr>
                <w:rFonts w:hint="eastAsia" w:ascii="宋体" w:cs="Times New Roman"/>
                <w:color w:val="auto"/>
                <w:lang w:val="en-US" w:eastAsia="zh-CN"/>
              </w:rPr>
              <w:t>投标当天，现场缴纳（现金）。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6" w:hRule="atLeast"/>
          <w:jc w:val="center"/>
        </w:trPr>
        <w:tc>
          <w:tcPr>
            <w:tcW w:w="804" w:type="dxa"/>
            <w:vAlign w:val="center"/>
          </w:tcPr>
          <w:p>
            <w:pPr>
              <w:spacing w:line="360" w:lineRule="auto"/>
              <w:jc w:val="center"/>
              <w:rPr>
                <w:rFonts w:hint="eastAsia" w:ascii="宋体" w:eastAsia="宋体" w:cs="Times New Roman"/>
                <w:b/>
                <w:bCs/>
                <w:lang w:eastAsia="zh-CN"/>
              </w:rPr>
            </w:pPr>
            <w:r>
              <w:rPr>
                <w:rFonts w:hint="eastAsia" w:ascii="宋体" w:hAnsi="宋体" w:cs="宋体"/>
                <w:b/>
                <w:bCs/>
                <w:lang w:val="en-US" w:eastAsia="zh-CN"/>
              </w:rPr>
              <w:t>5</w:t>
            </w:r>
          </w:p>
        </w:tc>
        <w:tc>
          <w:tcPr>
            <w:tcW w:w="1506" w:type="dxa"/>
            <w:vAlign w:val="center"/>
          </w:tcPr>
          <w:p>
            <w:pPr>
              <w:spacing w:line="360" w:lineRule="auto"/>
              <w:jc w:val="center"/>
              <w:rPr>
                <w:rFonts w:ascii="宋体" w:cs="Times New Roman"/>
              </w:rPr>
            </w:pPr>
            <w:r>
              <w:rPr>
                <w:rFonts w:hint="eastAsia" w:ascii="宋体" w:hAnsi="宋体" w:cs="宋体"/>
              </w:rPr>
              <w:t>履约保证金</w:t>
            </w:r>
          </w:p>
          <w:p>
            <w:pPr>
              <w:spacing w:line="360" w:lineRule="auto"/>
              <w:jc w:val="center"/>
              <w:rPr>
                <w:rFonts w:ascii="宋体" w:cs="Times New Roman"/>
                <w:b/>
              </w:rPr>
            </w:pPr>
            <w:r>
              <w:rPr>
                <w:rFonts w:hint="eastAsia" w:ascii="宋体" w:hAnsi="宋体" w:cs="宋体"/>
                <w:b/>
              </w:rPr>
              <w:t>（此项由中标供货商缴纳）</w:t>
            </w:r>
          </w:p>
        </w:tc>
        <w:tc>
          <w:tcPr>
            <w:tcW w:w="6850" w:type="dxa"/>
            <w:vAlign w:val="center"/>
          </w:tcPr>
          <w:p>
            <w:pPr>
              <w:spacing w:line="360" w:lineRule="auto"/>
              <w:rPr>
                <w:rFonts w:hint="eastAsia" w:ascii="宋体" w:eastAsia="宋体" w:cs="Times New Roman"/>
                <w:b/>
                <w:color w:val="auto"/>
                <w:lang w:eastAsia="zh-CN"/>
              </w:rPr>
            </w:pPr>
            <w:r>
              <w:rPr>
                <w:rFonts w:hint="eastAsia" w:ascii="宋体" w:hAnsi="宋体" w:cs="宋体"/>
                <w:b/>
                <w:color w:val="auto"/>
              </w:rPr>
              <w:t>包一：</w:t>
            </w:r>
            <w:r>
              <w:rPr>
                <w:rFonts w:hint="eastAsia" w:ascii="宋体" w:hAnsi="宋体" w:cs="宋体"/>
                <w:b/>
                <w:color w:val="auto"/>
                <w:lang w:eastAsia="zh-CN"/>
              </w:rPr>
              <w:t>伍万</w:t>
            </w:r>
            <w:r>
              <w:rPr>
                <w:rFonts w:hint="eastAsia" w:ascii="宋体" w:hAnsi="宋体" w:cs="宋体"/>
                <w:b/>
                <w:color w:val="auto"/>
              </w:rPr>
              <w:t>元整；包二：</w:t>
            </w:r>
            <w:r>
              <w:rPr>
                <w:rFonts w:hint="eastAsia" w:ascii="宋体" w:hAnsi="宋体" w:cs="宋体"/>
                <w:b/>
                <w:color w:val="auto"/>
                <w:lang w:eastAsia="zh-CN"/>
              </w:rPr>
              <w:t>伍万</w:t>
            </w:r>
            <w:r>
              <w:rPr>
                <w:rFonts w:hint="eastAsia" w:ascii="宋体" w:hAnsi="宋体" w:cs="宋体"/>
                <w:b/>
                <w:color w:val="auto"/>
              </w:rPr>
              <w:t>元整；包三：</w:t>
            </w:r>
            <w:r>
              <w:rPr>
                <w:rFonts w:hint="eastAsia" w:ascii="宋体" w:hAnsi="宋体" w:cs="宋体"/>
                <w:b/>
                <w:color w:val="auto"/>
                <w:lang w:eastAsia="zh-CN"/>
              </w:rPr>
              <w:t>伍万</w:t>
            </w:r>
            <w:r>
              <w:rPr>
                <w:rFonts w:hint="eastAsia" w:ascii="宋体" w:hAnsi="宋体" w:cs="宋体"/>
                <w:b/>
                <w:color w:val="auto"/>
              </w:rPr>
              <w:t>元整</w:t>
            </w:r>
          </w:p>
          <w:p>
            <w:pPr>
              <w:spacing w:line="360" w:lineRule="auto"/>
              <w:rPr>
                <w:rFonts w:ascii="宋体" w:cs="Times New Roman"/>
                <w:b/>
                <w:bCs/>
                <w:color w:val="auto"/>
              </w:rPr>
            </w:pPr>
            <w:r>
              <w:rPr>
                <w:rFonts w:hint="eastAsia" w:ascii="宋体" w:hAnsi="宋体" w:cs="宋体"/>
                <w:color w:val="auto"/>
              </w:rPr>
              <w:t>交款方式：采取银行转账、电汇等非现金交纳方式。</w:t>
            </w:r>
          </w:p>
          <w:p>
            <w:pPr>
              <w:spacing w:line="360" w:lineRule="auto"/>
              <w:rPr>
                <w:rFonts w:ascii="宋体" w:cs="Times New Roman"/>
                <w:color w:val="auto"/>
              </w:rPr>
            </w:pPr>
            <w:r>
              <w:rPr>
                <w:rFonts w:hint="eastAsia" w:ascii="宋体" w:hAnsi="宋体" w:cs="宋体"/>
                <w:color w:val="auto"/>
              </w:rPr>
              <w:t>缴费地点：重庆</w:t>
            </w:r>
            <w:r>
              <w:rPr>
                <w:rFonts w:hint="eastAsia" w:ascii="宋体" w:hAnsi="宋体" w:cs="宋体"/>
                <w:color w:val="auto"/>
                <w:lang w:eastAsia="zh-CN"/>
              </w:rPr>
              <w:t>莘莘餐饮管理有限公司</w:t>
            </w:r>
            <w:r>
              <w:rPr>
                <w:rFonts w:hint="eastAsia" w:ascii="宋体" w:hAnsi="宋体" w:cs="宋体"/>
                <w:color w:val="auto"/>
              </w:rPr>
              <w:t>财务</w:t>
            </w:r>
            <w:r>
              <w:rPr>
                <w:rFonts w:hint="eastAsia" w:ascii="宋体" w:hAnsi="宋体" w:cs="宋体"/>
                <w:color w:val="auto"/>
                <w:lang w:eastAsia="zh-CN"/>
              </w:rPr>
              <w:t>部</w:t>
            </w:r>
            <w:r>
              <w:rPr>
                <w:rFonts w:hint="eastAsia" w:ascii="宋体" w:hAnsi="宋体" w:cs="宋体"/>
                <w:color w:val="auto"/>
              </w:rPr>
              <w:t>。</w:t>
            </w:r>
          </w:p>
          <w:p>
            <w:pPr>
              <w:spacing w:line="360" w:lineRule="auto"/>
              <w:rPr>
                <w:rFonts w:hint="eastAsia" w:ascii="宋体" w:hAnsi="宋体" w:cs="宋体"/>
                <w:color w:val="auto"/>
              </w:rPr>
            </w:pPr>
            <w:r>
              <w:rPr>
                <w:rFonts w:hint="eastAsia" w:ascii="宋体" w:hAnsi="宋体" w:cs="宋体"/>
                <w:color w:val="auto"/>
              </w:rPr>
              <w:t>名称：重庆</w:t>
            </w:r>
            <w:r>
              <w:rPr>
                <w:rFonts w:hint="eastAsia" w:ascii="宋体" w:hAnsi="宋体" w:cs="宋体"/>
                <w:color w:val="auto"/>
                <w:lang w:eastAsia="zh-CN"/>
              </w:rPr>
              <w:t>莘莘餐饮管理有限公司</w:t>
            </w:r>
          </w:p>
          <w:p>
            <w:pPr>
              <w:spacing w:line="360" w:lineRule="auto"/>
              <w:rPr>
                <w:rFonts w:hint="eastAsia" w:ascii="宋体" w:hAnsi="宋体" w:cs="宋体"/>
                <w:color w:val="auto"/>
              </w:rPr>
            </w:pPr>
            <w:r>
              <w:rPr>
                <w:rFonts w:hint="eastAsia" w:ascii="宋体" w:hAnsi="宋体" w:cs="宋体"/>
                <w:color w:val="auto"/>
              </w:rPr>
              <w:t>税号：</w:t>
            </w:r>
            <w:r>
              <w:rPr>
                <w:rFonts w:hint="eastAsia" w:ascii="宋体" w:hAnsi="宋体" w:cs="宋体"/>
                <w:color w:val="auto"/>
                <w:lang w:val="en-US" w:eastAsia="zh-CN"/>
              </w:rPr>
              <w:t>91500108693912917E</w:t>
            </w:r>
          </w:p>
          <w:p>
            <w:pPr>
              <w:spacing w:line="360" w:lineRule="auto"/>
              <w:rPr>
                <w:rFonts w:hint="default" w:ascii="宋体" w:hAnsi="宋体" w:cs="宋体"/>
                <w:color w:val="auto"/>
                <w:lang w:val="en-US"/>
              </w:rPr>
            </w:pPr>
            <w:r>
              <w:rPr>
                <w:rFonts w:hint="eastAsia" w:ascii="宋体" w:hAnsi="宋体" w:cs="宋体"/>
                <w:color w:val="auto"/>
              </w:rPr>
              <w:t>单位地址：重庆市</w:t>
            </w:r>
            <w:r>
              <w:rPr>
                <w:rFonts w:hint="eastAsia" w:ascii="宋体" w:hAnsi="宋体" w:cs="宋体"/>
                <w:color w:val="auto"/>
                <w:lang w:eastAsia="zh-CN"/>
              </w:rPr>
              <w:t>南岸</w:t>
            </w:r>
            <w:r>
              <w:rPr>
                <w:rFonts w:hint="eastAsia" w:ascii="宋体" w:hAnsi="宋体" w:cs="宋体"/>
                <w:color w:val="auto"/>
              </w:rPr>
              <w:t>区</w:t>
            </w:r>
            <w:r>
              <w:rPr>
                <w:rFonts w:hint="eastAsia" w:ascii="宋体" w:hAnsi="宋体" w:cs="宋体"/>
                <w:color w:val="auto"/>
                <w:lang w:eastAsia="zh-CN"/>
              </w:rPr>
              <w:t>学府大道</w:t>
            </w:r>
            <w:r>
              <w:rPr>
                <w:rFonts w:hint="eastAsia" w:ascii="宋体" w:hAnsi="宋体" w:cs="宋体"/>
                <w:color w:val="auto"/>
                <w:lang w:val="en-US" w:eastAsia="zh-CN"/>
              </w:rPr>
              <w:t>21号A3栋</w:t>
            </w:r>
          </w:p>
          <w:p>
            <w:pPr>
              <w:spacing w:line="360" w:lineRule="auto"/>
              <w:rPr>
                <w:rFonts w:hint="eastAsia" w:ascii="宋体" w:hAnsi="宋体" w:cs="宋体"/>
                <w:color w:val="auto"/>
                <w:lang w:eastAsia="zh-CN"/>
              </w:rPr>
            </w:pPr>
            <w:r>
              <w:rPr>
                <w:rFonts w:hint="eastAsia" w:ascii="宋体" w:hAnsi="宋体" w:cs="宋体"/>
                <w:color w:val="auto"/>
              </w:rPr>
              <w:t>开户银行：</w:t>
            </w:r>
            <w:r>
              <w:rPr>
                <w:rFonts w:hint="eastAsia" w:ascii="宋体" w:hAnsi="宋体" w:cs="宋体"/>
                <w:color w:val="auto"/>
                <w:lang w:eastAsia="zh-CN"/>
              </w:rPr>
              <w:t>中国农业银行股份有限公司重庆南岸白鹤路支行</w:t>
            </w:r>
          </w:p>
          <w:p>
            <w:pPr>
              <w:spacing w:line="360" w:lineRule="auto"/>
              <w:rPr>
                <w:rFonts w:hint="eastAsia" w:ascii="宋体" w:hAnsi="宋体" w:cs="宋体"/>
                <w:color w:val="auto"/>
                <w:lang w:val="en-US" w:eastAsia="zh-CN"/>
              </w:rPr>
            </w:pPr>
            <w:r>
              <w:rPr>
                <w:rFonts w:hint="eastAsia" w:ascii="宋体" w:hAnsi="宋体" w:cs="宋体"/>
                <w:color w:val="auto"/>
              </w:rPr>
              <w:t>银行账户：</w:t>
            </w:r>
            <w:r>
              <w:rPr>
                <w:rFonts w:hint="eastAsia" w:ascii="宋体" w:hAnsi="宋体" w:cs="宋体"/>
                <w:color w:val="auto"/>
                <w:lang w:val="en-US" w:eastAsia="zh-CN"/>
              </w:rPr>
              <w:t>31061301040006676</w:t>
            </w:r>
          </w:p>
          <w:p>
            <w:pPr>
              <w:spacing w:line="360" w:lineRule="auto"/>
              <w:rPr>
                <w:rFonts w:ascii="宋体" w:cs="Times New Roman"/>
                <w:b/>
                <w:bCs/>
                <w:color w:val="auto"/>
              </w:rPr>
            </w:pPr>
            <w:r>
              <w:rPr>
                <w:rFonts w:hint="eastAsia" w:ascii="宋体" w:hAnsi="宋体" w:cs="宋体"/>
                <w:b/>
                <w:bCs/>
                <w:color w:val="auto"/>
              </w:rPr>
              <w:t>特别注意：</w:t>
            </w:r>
          </w:p>
          <w:p>
            <w:pPr>
              <w:spacing w:line="360" w:lineRule="auto"/>
              <w:rPr>
                <w:rFonts w:ascii="宋体" w:cs="Times New Roman"/>
                <w:color w:val="auto"/>
              </w:rPr>
            </w:pPr>
            <w:r>
              <w:rPr>
                <w:rFonts w:hint="eastAsia" w:ascii="宋体" w:hAnsi="宋体" w:cs="宋体"/>
                <w:color w:val="auto"/>
              </w:rPr>
              <w:t>请在备注上填写</w:t>
            </w:r>
            <w:r>
              <w:rPr>
                <w:rFonts w:hint="eastAsia" w:ascii="宋体" w:hAnsi="宋体" w:cs="宋体"/>
                <w:color w:val="auto"/>
                <w:lang w:eastAsia="zh-CN"/>
              </w:rPr>
              <w:t>重庆商务职业学院</w:t>
            </w:r>
            <w:r>
              <w:rPr>
                <w:rFonts w:hint="eastAsia" w:ascii="宋体" w:hAnsi="宋体" w:cs="宋体"/>
                <w:color w:val="auto"/>
              </w:rPr>
              <w:t>食堂原材料配送服务入围企业项目履约保证金（包）。中标配送服务企业交款时间：（签订合同前，转款备注为“</w:t>
            </w:r>
            <w:r>
              <w:rPr>
                <w:rFonts w:ascii="宋体" w:hAnsi="宋体" w:cs="宋体"/>
                <w:color w:val="auto"/>
              </w:rPr>
              <w:t xml:space="preserve">XXX </w:t>
            </w:r>
            <w:r>
              <w:rPr>
                <w:rFonts w:hint="eastAsia" w:ascii="宋体" w:hAnsi="宋体" w:cs="宋体"/>
                <w:color w:val="auto"/>
              </w:rPr>
              <w:t>项目包</w:t>
            </w:r>
            <w:r>
              <w:rPr>
                <w:rFonts w:ascii="宋体" w:hAnsi="宋体" w:cs="宋体"/>
                <w:color w:val="auto"/>
              </w:rPr>
              <w:t>X</w:t>
            </w:r>
            <w:r>
              <w:rPr>
                <w:rFonts w:hint="eastAsia" w:ascii="宋体" w:hAnsi="宋体" w:cs="宋体"/>
                <w:color w:val="auto"/>
              </w:rPr>
              <w:t>X”履约保证金）。</w:t>
            </w:r>
          </w:p>
        </w:tc>
      </w:tr>
    </w:tbl>
    <w:p>
      <w:pPr>
        <w:spacing w:line="600" w:lineRule="exact"/>
        <w:jc w:val="center"/>
        <w:rPr>
          <w:rFonts w:hint="eastAsia" w:cs="宋体" w:asciiTheme="minorEastAsia" w:hAnsiTheme="minorEastAsia" w:eastAsiaTheme="minorEastAsia"/>
          <w:b/>
          <w:bCs/>
          <w:sz w:val="24"/>
          <w:szCs w:val="24"/>
        </w:rPr>
      </w:pPr>
      <w:bookmarkStart w:id="2" w:name="page5"/>
      <w:bookmarkEnd w:id="2"/>
      <w:bookmarkStart w:id="3" w:name="page6"/>
      <w:bookmarkEnd w:id="3"/>
    </w:p>
    <w:p>
      <w:pPr>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br w:type="page"/>
      </w:r>
    </w:p>
    <w:p>
      <w:pPr>
        <w:numPr>
          <w:ilvl w:val="0"/>
          <w:numId w:val="2"/>
        </w:numPr>
        <w:spacing w:line="600" w:lineRule="exact"/>
        <w:jc w:val="center"/>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总则</w:t>
      </w:r>
    </w:p>
    <w:p>
      <w:pPr>
        <w:spacing w:line="600" w:lineRule="exact"/>
        <w:ind w:firstLine="472" w:firstLineChars="196"/>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、适用范围</w:t>
      </w:r>
    </w:p>
    <w:p>
      <w:pPr>
        <w:spacing w:line="600" w:lineRule="exact"/>
        <w:ind w:left="5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1.1 </w:t>
      </w:r>
      <w:r>
        <w:rPr>
          <w:rFonts w:hint="eastAsia" w:cs="宋体" w:asciiTheme="minorEastAsia" w:hAnsiTheme="minorEastAsia" w:eastAsiaTheme="minorEastAsia"/>
          <w:sz w:val="24"/>
          <w:szCs w:val="24"/>
        </w:rPr>
        <w:t>本招标文件仅适用于本次招标所叙述的项目采购。</w:t>
      </w:r>
    </w:p>
    <w:p>
      <w:pPr>
        <w:spacing w:line="600" w:lineRule="exact"/>
        <w:ind w:firstLine="472" w:firstLineChars="196"/>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rPr>
        <w:t>有关定义</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2.1</w:t>
      </w:r>
      <w:r>
        <w:rPr>
          <w:rFonts w:hint="eastAsia" w:cs="宋体" w:asciiTheme="minorEastAsia" w:hAnsiTheme="minorEastAsia" w:eastAsiaTheme="minorEastAsia"/>
          <w:sz w:val="24"/>
          <w:szCs w:val="24"/>
        </w:rPr>
        <w:t>“招标人”系指依法进行政府采购的国家机关、企事业单位、团体组织。本次招标的招标人是</w:t>
      </w:r>
      <w:r>
        <w:rPr>
          <w:rFonts w:hint="eastAsia" w:cs="宋体" w:asciiTheme="minorEastAsia" w:hAnsiTheme="minorEastAsia" w:eastAsiaTheme="minorEastAsia"/>
          <w:sz w:val="24"/>
          <w:szCs w:val="24"/>
          <w:lang w:eastAsia="zh-CN"/>
        </w:rPr>
        <w:t>重庆莘莘餐饮管理有限公司</w:t>
      </w:r>
      <w:r>
        <w:rPr>
          <w:rFonts w:hint="eastAsia" w:cs="宋体" w:asciiTheme="minorEastAsia" w:hAnsiTheme="minorEastAsia" w:eastAsiaTheme="minorEastAsia"/>
          <w:sz w:val="24"/>
          <w:szCs w:val="24"/>
        </w:rPr>
        <w:t>。</w:t>
      </w:r>
    </w:p>
    <w:p>
      <w:pPr>
        <w:spacing w:line="600" w:lineRule="exact"/>
        <w:ind w:left="426" w:leftChars="213" w:firstLine="120" w:firstLineChars="5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2.2</w:t>
      </w:r>
      <w:r>
        <w:rPr>
          <w:rFonts w:hint="eastAsia" w:cs="宋体" w:asciiTheme="minorEastAsia" w:hAnsiTheme="minorEastAsia" w:eastAsiaTheme="minorEastAsia"/>
          <w:sz w:val="24"/>
          <w:szCs w:val="24"/>
        </w:rPr>
        <w:t>“招标采购单位”系指“招标人”的统称。</w:t>
      </w:r>
    </w:p>
    <w:p>
      <w:pPr>
        <w:spacing w:line="600" w:lineRule="exact"/>
        <w:ind w:firstLine="544" w:firstLineChars="227"/>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2.3 </w:t>
      </w:r>
      <w:r>
        <w:rPr>
          <w:rFonts w:hint="eastAsia" w:cs="宋体" w:asciiTheme="minorEastAsia" w:hAnsiTheme="minorEastAsia" w:eastAsiaTheme="minorEastAsia"/>
          <w:sz w:val="24"/>
          <w:szCs w:val="24"/>
        </w:rPr>
        <w:t>“投标人”系指购买了招标文件拟参加向招标人提供货物及相应服务的配送服务企业。</w:t>
      </w:r>
    </w:p>
    <w:p>
      <w:pPr>
        <w:spacing w:line="600" w:lineRule="exact"/>
        <w:ind w:firstLine="470" w:firstLineChars="195"/>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合格的投标人</w:t>
      </w:r>
    </w:p>
    <w:p>
      <w:pPr>
        <w:spacing w:line="600" w:lineRule="exact"/>
        <w:ind w:left="499"/>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合格的投标人应具备以下条件：</w:t>
      </w:r>
    </w:p>
    <w:p>
      <w:pPr>
        <w:spacing w:line="600" w:lineRule="exact"/>
        <w:ind w:left="499"/>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3.1</w:t>
      </w:r>
      <w:r>
        <w:rPr>
          <w:rFonts w:hint="eastAsia" w:cs="宋体" w:asciiTheme="minorEastAsia" w:hAnsiTheme="minorEastAsia" w:eastAsiaTheme="minorEastAsia"/>
          <w:sz w:val="24"/>
          <w:szCs w:val="24"/>
        </w:rPr>
        <w:t>具备“投标邀请”第四条的配送服务企业应具有的资格条件；</w:t>
      </w:r>
    </w:p>
    <w:p>
      <w:pPr>
        <w:spacing w:line="600" w:lineRule="exact"/>
        <w:ind w:left="499"/>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向招标人购买了招标文件并登记备案；</w:t>
      </w:r>
    </w:p>
    <w:p>
      <w:pPr>
        <w:spacing w:line="600" w:lineRule="exact"/>
        <w:ind w:left="499"/>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3.3</w:t>
      </w:r>
      <w:r>
        <w:rPr>
          <w:rFonts w:hint="eastAsia" w:cs="宋体" w:asciiTheme="minorEastAsia" w:hAnsiTheme="minorEastAsia" w:eastAsiaTheme="minorEastAsia"/>
          <w:sz w:val="24"/>
          <w:szCs w:val="24"/>
        </w:rPr>
        <w:t>遵守国家有关法律、法规和条例；</w:t>
      </w:r>
    </w:p>
    <w:p>
      <w:pPr>
        <w:spacing w:line="600" w:lineRule="exact"/>
        <w:ind w:left="499"/>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3.4</w:t>
      </w:r>
      <w:r>
        <w:rPr>
          <w:rFonts w:hint="eastAsia" w:cs="宋体" w:asciiTheme="minorEastAsia" w:hAnsiTheme="minorEastAsia" w:eastAsiaTheme="minorEastAsia"/>
          <w:sz w:val="24"/>
          <w:szCs w:val="24"/>
        </w:rPr>
        <w:t>招标文件和法律、行政法规规定的其他条件。</w:t>
      </w:r>
    </w:p>
    <w:p>
      <w:pPr>
        <w:spacing w:line="600" w:lineRule="exact"/>
        <w:ind w:firstLine="472" w:firstLineChars="196"/>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4.</w:t>
      </w:r>
      <w:r>
        <w:rPr>
          <w:rFonts w:hint="eastAsia" w:cs="宋体" w:asciiTheme="minorEastAsia" w:hAnsiTheme="minorEastAsia" w:eastAsiaTheme="minorEastAsia"/>
          <w:b/>
          <w:sz w:val="24"/>
          <w:szCs w:val="24"/>
        </w:rPr>
        <w:t>配送服务企业</w:t>
      </w:r>
      <w:r>
        <w:rPr>
          <w:rFonts w:hint="eastAsia" w:cs="宋体" w:asciiTheme="minorEastAsia" w:hAnsiTheme="minorEastAsia" w:eastAsiaTheme="minorEastAsia"/>
          <w:b/>
          <w:bCs/>
          <w:sz w:val="24"/>
          <w:szCs w:val="24"/>
        </w:rPr>
        <w:t>投标费用</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4.1</w:t>
      </w:r>
      <w:r>
        <w:rPr>
          <w:rFonts w:hint="eastAsia" w:cs="宋体" w:asciiTheme="minorEastAsia" w:hAnsiTheme="minorEastAsia" w:eastAsiaTheme="minorEastAsia"/>
          <w:sz w:val="24"/>
          <w:szCs w:val="24"/>
        </w:rPr>
        <w:t>配送服务企业参加招标的有关费用由配送服务企业自行承担。</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4.2</w:t>
      </w:r>
      <w:r>
        <w:rPr>
          <w:rFonts w:hint="eastAsia" w:cs="宋体" w:asciiTheme="minorEastAsia" w:hAnsiTheme="minorEastAsia" w:eastAsiaTheme="minorEastAsia"/>
          <w:sz w:val="24"/>
          <w:szCs w:val="24"/>
        </w:rPr>
        <w:t>未中标的配送服务企业，招标人无息退还投标保证金；</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4.3</w:t>
      </w:r>
      <w:r>
        <w:rPr>
          <w:rFonts w:hint="eastAsia" w:cs="宋体" w:asciiTheme="minorEastAsia" w:hAnsiTheme="minorEastAsia" w:eastAsiaTheme="minorEastAsia"/>
          <w:sz w:val="24"/>
          <w:szCs w:val="24"/>
        </w:rPr>
        <w:t>中标的配送服务企业的投标保证金转为履约保证金；</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4.4</w:t>
      </w:r>
      <w:r>
        <w:rPr>
          <w:rFonts w:hint="eastAsia" w:cs="宋体" w:asciiTheme="minorEastAsia" w:hAnsiTheme="minorEastAsia" w:eastAsiaTheme="minorEastAsia"/>
          <w:sz w:val="24"/>
          <w:szCs w:val="24"/>
        </w:rPr>
        <w:t>中标的配送服务企业须在签订合同前，按照招标文件要求缴纳履约保证金。</w:t>
      </w:r>
    </w:p>
    <w:p>
      <w:pPr>
        <w:spacing w:line="600" w:lineRule="exact"/>
        <w:ind w:firstLine="480" w:firstLineChars="200"/>
        <w:rPr>
          <w:rFonts w:cs="Times New Roman" w:asciiTheme="minorEastAsia" w:hAnsiTheme="minorEastAsia" w:eastAsiaTheme="minorEastAsia"/>
          <w:sz w:val="24"/>
          <w:szCs w:val="24"/>
        </w:rPr>
      </w:pPr>
    </w:p>
    <w:p>
      <w:pPr>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br w:type="page"/>
      </w:r>
    </w:p>
    <w:p>
      <w:pPr>
        <w:spacing w:line="60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三、招标文件说明</w:t>
      </w:r>
    </w:p>
    <w:p>
      <w:pPr>
        <w:spacing w:line="600" w:lineRule="exact"/>
        <w:jc w:val="center"/>
        <w:rPr>
          <w:rFonts w:cs="Times New Roman" w:asciiTheme="minorEastAsia" w:hAnsiTheme="minorEastAsia" w:eastAsiaTheme="minorEastAsia"/>
          <w:b/>
          <w:bCs/>
          <w:sz w:val="24"/>
          <w:szCs w:val="24"/>
        </w:rPr>
      </w:pPr>
    </w:p>
    <w:p>
      <w:pPr>
        <w:spacing w:line="600" w:lineRule="exact"/>
        <w:ind w:left="480"/>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概述</w:t>
      </w:r>
    </w:p>
    <w:p>
      <w:pPr>
        <w:spacing w:line="600" w:lineRule="exact"/>
        <w:ind w:left="480"/>
        <w:rPr>
          <w:rFonts w:cs="Times New Roman" w:asciiTheme="minorEastAsia" w:hAnsiTheme="minorEastAsia" w:eastAsiaTheme="minorEastAsia"/>
          <w:b/>
          <w:bCs/>
          <w:sz w:val="24"/>
          <w:szCs w:val="24"/>
        </w:rPr>
      </w:pPr>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本招标文件阐明了配送服务企业所需提供项目范围和项目采购的程序，是本次招标活动具有法律效力的文件。</w:t>
      </w:r>
    </w:p>
    <w:p>
      <w:pPr>
        <w:tabs>
          <w:tab w:val="left" w:pos="1060"/>
        </w:tabs>
        <w:spacing w:line="600" w:lineRule="exact"/>
        <w:ind w:left="142" w:leftChars="71" w:firstLine="360" w:firstLineChars="15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1.2</w:t>
      </w:r>
      <w:r>
        <w:rPr>
          <w:rFonts w:hint="eastAsia" w:cs="宋体" w:asciiTheme="minorEastAsia" w:hAnsiTheme="minorEastAsia" w:eastAsiaTheme="minorEastAsia"/>
          <w:sz w:val="24"/>
          <w:szCs w:val="24"/>
        </w:rPr>
        <w:t>配送服务企业应认真阅读招标文件中所有的事项、格式条款和规范等要求。配送服务企业没有按照招标文件要求提交全部资料，或者响应文件没有对招标文件做出实质性响应而导致发生影响响应文件被拒绝或按照无效处理的不利后果，由配送服务企业自行承担相关风险。</w:t>
      </w:r>
    </w:p>
    <w:p>
      <w:pPr>
        <w:spacing w:line="600" w:lineRule="exact"/>
        <w:ind w:left="480"/>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rPr>
        <w:t>招标文件的构成</w:t>
      </w:r>
    </w:p>
    <w:p>
      <w:pPr>
        <w:spacing w:line="600" w:lineRule="exact"/>
        <w:ind w:firstLine="480" w:firstLineChars="200"/>
        <w:rPr>
          <w:rFonts w:cs="Times New Roman" w:asciiTheme="minorEastAsia" w:hAnsiTheme="minorEastAsia" w:eastAsiaTheme="minorEastAsia"/>
          <w:sz w:val="24"/>
          <w:szCs w:val="24"/>
        </w:rPr>
      </w:pPr>
      <w:bookmarkStart w:id="4" w:name="page7"/>
      <w:bookmarkEnd w:id="4"/>
      <w:r>
        <w:rPr>
          <w:rFonts w:hint="eastAsia" w:cs="宋体" w:asciiTheme="minorEastAsia" w:hAnsiTheme="minorEastAsia" w:eastAsiaTheme="minorEastAsia"/>
          <w:sz w:val="24"/>
          <w:szCs w:val="24"/>
        </w:rPr>
        <w:t>招标文件由总目录所列内容组成：</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2.1 </w:t>
      </w:r>
      <w:r>
        <w:rPr>
          <w:rFonts w:hint="eastAsia" w:cs="宋体" w:asciiTheme="minorEastAsia" w:hAnsiTheme="minorEastAsia" w:eastAsiaTheme="minorEastAsia"/>
          <w:sz w:val="24"/>
          <w:szCs w:val="24"/>
        </w:rPr>
        <w:t>投标邀请。</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2.2 </w:t>
      </w:r>
      <w:r>
        <w:rPr>
          <w:rFonts w:hint="eastAsia" w:cs="宋体" w:asciiTheme="minorEastAsia" w:hAnsiTheme="minorEastAsia" w:eastAsiaTheme="minorEastAsia"/>
          <w:sz w:val="24"/>
          <w:szCs w:val="24"/>
        </w:rPr>
        <w:t>配送服务企业须知。</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2.3 </w:t>
      </w:r>
      <w:r>
        <w:rPr>
          <w:rFonts w:hint="eastAsia" w:cs="宋体" w:asciiTheme="minorEastAsia" w:hAnsiTheme="minorEastAsia" w:eastAsiaTheme="minorEastAsia"/>
          <w:sz w:val="24"/>
          <w:szCs w:val="24"/>
        </w:rPr>
        <w:t>采购项目技术及商务要求。</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2.4</w:t>
      </w:r>
      <w:r>
        <w:rPr>
          <w:rFonts w:hint="eastAsia" w:cs="宋体" w:asciiTheme="minorEastAsia" w:hAnsiTheme="minorEastAsia" w:eastAsiaTheme="minorEastAsia"/>
          <w:sz w:val="24"/>
          <w:szCs w:val="24"/>
        </w:rPr>
        <w:t>评标程序及方法、评审标准、无效响应和采购终止。</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2.5</w:t>
      </w:r>
      <w:r>
        <w:rPr>
          <w:rFonts w:hint="eastAsia" w:cs="宋体" w:asciiTheme="minorEastAsia" w:hAnsiTheme="minorEastAsia" w:eastAsiaTheme="minorEastAsia"/>
          <w:sz w:val="24"/>
          <w:szCs w:val="24"/>
        </w:rPr>
        <w:t>确定中标人及签订合同</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2.6 </w:t>
      </w:r>
      <w:r>
        <w:rPr>
          <w:rFonts w:hint="eastAsia" w:cs="宋体" w:asciiTheme="minorEastAsia" w:hAnsiTheme="minorEastAsia" w:eastAsiaTheme="minorEastAsia"/>
          <w:sz w:val="24"/>
          <w:szCs w:val="24"/>
        </w:rPr>
        <w:t>响应文件格式。</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2.7 </w:t>
      </w:r>
      <w:r>
        <w:rPr>
          <w:rFonts w:hint="eastAsia" w:cs="宋体" w:asciiTheme="minorEastAsia" w:hAnsiTheme="minorEastAsia" w:eastAsiaTheme="minorEastAsia"/>
          <w:sz w:val="24"/>
          <w:szCs w:val="24"/>
        </w:rPr>
        <w:t>合同主要条款。</w:t>
      </w:r>
    </w:p>
    <w:p>
      <w:pPr>
        <w:spacing w:line="600" w:lineRule="exact"/>
        <w:ind w:firstLine="472" w:firstLineChars="196"/>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投标方式说明：</w:t>
      </w:r>
    </w:p>
    <w:p>
      <w:pPr>
        <w:spacing w:line="600"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sz w:val="24"/>
          <w:szCs w:val="24"/>
        </w:rPr>
        <w:t>投标人可以对标包单一投标或者多个标包投标,多个标包投标者，分别缴纳所投标包的投标保证金，并注明所投标包，</w:t>
      </w:r>
      <w:r>
        <w:rPr>
          <w:rFonts w:hint="eastAsia" w:cs="宋体" w:asciiTheme="minorEastAsia" w:hAnsiTheme="minorEastAsia" w:eastAsiaTheme="minorEastAsia"/>
          <w:bCs/>
          <w:sz w:val="24"/>
          <w:szCs w:val="24"/>
        </w:rPr>
        <w:t>若未注明所投标包，将视同未交保证金，投标无效。</w:t>
      </w:r>
    </w:p>
    <w:p>
      <w:pPr>
        <w:spacing w:line="600" w:lineRule="exact"/>
        <w:ind w:firstLine="472" w:firstLineChars="196"/>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rPr>
        <w:t>招标文件的澄清或修改</w:t>
      </w:r>
    </w:p>
    <w:p>
      <w:pPr>
        <w:spacing w:line="600" w:lineRule="exact"/>
        <w:ind w:firstLine="470" w:firstLineChars="196"/>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4.1</w:t>
      </w:r>
      <w:r>
        <w:rPr>
          <w:rFonts w:hint="eastAsia" w:cs="宋体" w:asciiTheme="minorEastAsia" w:hAnsiTheme="minorEastAsia" w:eastAsiaTheme="minorEastAsia"/>
          <w:sz w:val="24"/>
          <w:szCs w:val="24"/>
        </w:rPr>
        <w:t>在招标截止时间前的任何时候，无论出于何种原因，招标人有对招标文件进行澄清或修改的权利，可主动地或在解答配送服务企业提出的问题时对招标文件进行澄清或修改。澄清或修改通知为招标文件的组成部分。</w:t>
      </w:r>
    </w:p>
    <w:p>
      <w:pPr>
        <w:wordWrap w:val="0"/>
        <w:spacing w:line="600" w:lineRule="exact"/>
        <w:ind w:firstLine="470" w:firstLineChars="196"/>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4.2</w:t>
      </w:r>
      <w:r>
        <w:rPr>
          <w:rFonts w:hint="eastAsia" w:cs="宋体" w:asciiTheme="minorEastAsia" w:hAnsiTheme="minorEastAsia" w:eastAsiaTheme="minorEastAsia"/>
          <w:sz w:val="24"/>
          <w:szCs w:val="24"/>
        </w:rPr>
        <w:t>招标文件的澄清或修改将在</w:t>
      </w:r>
      <w:r>
        <w:rPr>
          <w:rFonts w:hint="eastAsia" w:ascii="宋体" w:hAnsi="宋体" w:cs="宋体"/>
          <w:bCs/>
          <w:color w:val="auto"/>
          <w:sz w:val="24"/>
          <w:szCs w:val="24"/>
          <w:lang w:eastAsia="zh-CN"/>
        </w:rPr>
        <w:t>重庆莘莘餐饮管理有限公司官网http://www.cqsscy.com</w:t>
      </w:r>
      <w:r>
        <w:rPr>
          <w:rFonts w:hint="eastAsia" w:cs="宋体" w:asciiTheme="minorEastAsia" w:hAnsiTheme="minorEastAsia" w:eastAsiaTheme="minorEastAsia"/>
          <w:color w:val="auto"/>
          <w:sz w:val="24"/>
          <w:szCs w:val="24"/>
        </w:rPr>
        <w:t>予以发布</w:t>
      </w:r>
      <w:r>
        <w:rPr>
          <w:rFonts w:hint="eastAsia" w:cs="宋体" w:asciiTheme="minorEastAsia" w:hAnsiTheme="minorEastAsia" w:eastAsiaTheme="minorEastAsia"/>
          <w:color w:val="auto"/>
          <w:sz w:val="24"/>
          <w:szCs w:val="24"/>
          <w:lang w:eastAsia="zh-CN"/>
        </w:rPr>
        <w:t>。</w:t>
      </w:r>
      <w:r>
        <w:rPr>
          <w:rFonts w:hint="eastAsia" w:cs="宋体" w:asciiTheme="minorEastAsia" w:hAnsiTheme="minorEastAsia" w:eastAsiaTheme="minorEastAsia"/>
          <w:sz w:val="24"/>
          <w:szCs w:val="24"/>
        </w:rPr>
        <w:t>配送服务企业不得以没有回复确认而拒绝接受澄清或修改通知。</w:t>
      </w:r>
    </w:p>
    <w:p>
      <w:pPr>
        <w:wordWrap w:val="0"/>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4.3</w:t>
      </w:r>
      <w:r>
        <w:rPr>
          <w:rFonts w:hint="eastAsia" w:cs="宋体" w:asciiTheme="minorEastAsia" w:hAnsiTheme="minorEastAsia" w:eastAsiaTheme="minorEastAsia"/>
          <w:sz w:val="24"/>
          <w:szCs w:val="24"/>
        </w:rPr>
        <w:t>为使配送服务企业有足够的时间按采招标文件的修改要求修正响应文件，招标人可酌情推迟招标的截止日期和招标日期，并将具体变更情况在</w:t>
      </w:r>
      <w:r>
        <w:rPr>
          <w:rFonts w:hint="eastAsia" w:ascii="宋体" w:hAnsi="宋体" w:cs="宋体"/>
          <w:bCs/>
          <w:color w:val="auto"/>
          <w:sz w:val="24"/>
          <w:szCs w:val="24"/>
          <w:lang w:eastAsia="zh-CN"/>
        </w:rPr>
        <w:t>http://www.cqsscy.com</w:t>
      </w:r>
      <w:r>
        <w:rPr>
          <w:rFonts w:hint="eastAsia" w:cs="宋体" w:asciiTheme="minorEastAsia" w:hAnsiTheme="minorEastAsia" w:eastAsiaTheme="minorEastAsia"/>
          <w:sz w:val="24"/>
          <w:szCs w:val="24"/>
        </w:rPr>
        <w:t>网站发布。</w:t>
      </w:r>
    </w:p>
    <w:p>
      <w:pPr>
        <w:wordWrap w:val="0"/>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4.4 </w:t>
      </w:r>
      <w:r>
        <w:rPr>
          <w:rFonts w:hint="eastAsia" w:cs="宋体" w:asciiTheme="minorEastAsia" w:hAnsiTheme="minorEastAsia" w:eastAsiaTheme="minorEastAsia"/>
          <w:sz w:val="24"/>
          <w:szCs w:val="24"/>
        </w:rPr>
        <w:t>招标文件有多次澄清或修改时，以最后发出的澄清或修改公告内容为准。</w:t>
      </w:r>
    </w:p>
    <w:p>
      <w:pPr>
        <w:spacing w:line="600" w:lineRule="exact"/>
        <w:ind w:right="120"/>
        <w:jc w:val="center"/>
        <w:rPr>
          <w:rFonts w:cs="Times New Roman" w:asciiTheme="minorEastAsia" w:hAnsiTheme="minorEastAsia" w:eastAsiaTheme="minorEastAsia"/>
          <w:sz w:val="24"/>
          <w:szCs w:val="24"/>
        </w:rPr>
      </w:pPr>
      <w:r>
        <w:rPr>
          <w:rFonts w:hint="eastAsia" w:cs="宋体" w:asciiTheme="minorEastAsia" w:hAnsiTheme="minorEastAsia" w:eastAsiaTheme="minorEastAsia"/>
          <w:b/>
          <w:bCs/>
          <w:sz w:val="24"/>
          <w:szCs w:val="24"/>
        </w:rPr>
        <w:t>四、响应文件的编写与递交</w:t>
      </w:r>
    </w:p>
    <w:p>
      <w:pPr>
        <w:spacing w:line="600" w:lineRule="exact"/>
        <w:ind w:left="480"/>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响应文件的构成</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1.1 </w:t>
      </w:r>
      <w:r>
        <w:rPr>
          <w:rFonts w:hint="eastAsia" w:cs="宋体" w:asciiTheme="minorEastAsia" w:hAnsiTheme="minorEastAsia" w:eastAsiaTheme="minorEastAsia"/>
          <w:sz w:val="24"/>
          <w:szCs w:val="24"/>
        </w:rPr>
        <w:t>资格性响应文件</w:t>
      </w:r>
    </w:p>
    <w:p>
      <w:pPr>
        <w:spacing w:line="600" w:lineRule="exact"/>
        <w:ind w:right="120" w:firstLine="480"/>
        <w:jc w:val="both"/>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资格性响应文件用于评审小组进行资格审查，确定参加投标的配送服务企业是否符合资格条件的依据。</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1.2 </w:t>
      </w:r>
      <w:r>
        <w:rPr>
          <w:rFonts w:hint="eastAsia" w:cs="宋体" w:asciiTheme="minorEastAsia" w:hAnsiTheme="minorEastAsia" w:eastAsiaTheme="minorEastAsia"/>
          <w:sz w:val="24"/>
          <w:szCs w:val="24"/>
        </w:rPr>
        <w:t>技术、服务性响应文件</w:t>
      </w:r>
    </w:p>
    <w:p>
      <w:pPr>
        <w:spacing w:line="600" w:lineRule="exact"/>
        <w:ind w:right="120" w:firstLine="480"/>
        <w:jc w:val="both"/>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配送服务企业按照招标文件的要求做出的技术应答，主要是针对采购项目技术参数、技术方案、交货时间、售后服务等要求做出的实质性响应和满足。</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1.3 </w:t>
      </w:r>
      <w:r>
        <w:rPr>
          <w:rFonts w:hint="eastAsia" w:cs="宋体" w:asciiTheme="minorEastAsia" w:hAnsiTheme="minorEastAsia" w:eastAsiaTheme="minorEastAsia"/>
          <w:sz w:val="24"/>
          <w:szCs w:val="24"/>
        </w:rPr>
        <w:t>报价文件</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1.3.1</w:t>
      </w:r>
      <w:r>
        <w:rPr>
          <w:rFonts w:hint="eastAsia" w:cs="宋体" w:asciiTheme="minorEastAsia" w:hAnsiTheme="minorEastAsia" w:eastAsiaTheme="minorEastAsia"/>
          <w:sz w:val="24"/>
          <w:szCs w:val="24"/>
        </w:rPr>
        <w:t>投标函</w:t>
      </w:r>
    </w:p>
    <w:p>
      <w:pPr>
        <w:spacing w:line="600" w:lineRule="exact"/>
        <w:ind w:right="120" w:firstLine="480"/>
        <w:jc w:val="both"/>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配送服务企业的承诺书是配送服务企业响应采购项目要求的全部工作内容的价格体现，包括：材料成本费、运输费、人工费、仓储费、装卸费、税费、利润、采购服务费等所有费用，并考虑市场价格风险。</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1.3.2</w:t>
      </w:r>
      <w:r>
        <w:rPr>
          <w:rFonts w:hint="eastAsia" w:cs="宋体" w:asciiTheme="minorEastAsia" w:hAnsiTheme="minorEastAsia" w:eastAsiaTheme="minorEastAsia"/>
          <w:sz w:val="24"/>
          <w:szCs w:val="24"/>
        </w:rPr>
        <w:t>投标函是在配送服务企业通过资格性审查后，现场密封递交。</w:t>
      </w:r>
      <w:bookmarkStart w:id="5" w:name="page8"/>
      <w:bookmarkEnd w:id="5"/>
    </w:p>
    <w:p>
      <w:pPr>
        <w:spacing w:line="600" w:lineRule="exact"/>
        <w:ind w:left="480"/>
        <w:rPr>
          <w:rFonts w:cs="宋体" w:asciiTheme="minorEastAsia" w:hAnsiTheme="minorEastAsia" w:eastAsiaTheme="minorEastAsia"/>
          <w:b/>
          <w:bCs/>
          <w:sz w:val="24"/>
          <w:szCs w:val="24"/>
        </w:rPr>
      </w:pPr>
    </w:p>
    <w:p>
      <w:pPr>
        <w:spacing w:line="600" w:lineRule="exact"/>
        <w:ind w:left="480"/>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rPr>
        <w:t>响应文件的编写与密封</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2.1 </w:t>
      </w:r>
      <w:r>
        <w:rPr>
          <w:rFonts w:hint="eastAsia" w:cs="宋体" w:asciiTheme="minorEastAsia" w:hAnsiTheme="minorEastAsia" w:eastAsiaTheme="minorEastAsia"/>
          <w:sz w:val="24"/>
          <w:szCs w:val="24"/>
        </w:rPr>
        <w:t>配送服务企业应按本招标文件所规定的格式、内容等编制响应文件。</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2.2 </w:t>
      </w:r>
      <w:r>
        <w:rPr>
          <w:rFonts w:hint="eastAsia" w:cs="宋体" w:asciiTheme="minorEastAsia" w:hAnsiTheme="minorEastAsia" w:eastAsiaTheme="minorEastAsia"/>
          <w:sz w:val="24"/>
          <w:szCs w:val="24"/>
        </w:rPr>
        <w:t>配送服务企业应当准备资格性响应文件、技术服务性响应文件、分别封装（正本壹份、副本</w:t>
      </w:r>
      <w:r>
        <w:rPr>
          <w:rFonts w:hint="eastAsia" w:cs="宋体" w:asciiTheme="minorEastAsia" w:hAnsiTheme="minorEastAsia" w:eastAsiaTheme="minorEastAsia"/>
          <w:sz w:val="24"/>
          <w:szCs w:val="24"/>
          <w:lang w:val="en-US" w:eastAsia="zh-CN"/>
        </w:rPr>
        <w:t>壹</w:t>
      </w:r>
      <w:r>
        <w:rPr>
          <w:rFonts w:hint="eastAsia" w:cs="宋体" w:asciiTheme="minorEastAsia" w:hAnsiTheme="minorEastAsia" w:eastAsiaTheme="minorEastAsia"/>
          <w:sz w:val="24"/>
          <w:szCs w:val="24"/>
        </w:rPr>
        <w:t>份）、报价文件。响应文件的正本和副本应在其封面右上角清楚地标“正</w:t>
      </w:r>
    </w:p>
    <w:p>
      <w:pPr>
        <w:spacing w:line="600" w:lineRule="exact"/>
        <w:rPr>
          <w:rFonts w:cs="Times New Roman" w:asciiTheme="minorEastAsia" w:hAnsiTheme="minorEastAsia" w:eastAsiaTheme="minorEastAsia"/>
          <w:color w:val="FF0000"/>
          <w:sz w:val="24"/>
          <w:szCs w:val="24"/>
        </w:rPr>
      </w:pPr>
      <w:r>
        <w:rPr>
          <w:rFonts w:hint="eastAsia" w:cs="宋体" w:asciiTheme="minorEastAsia" w:hAnsiTheme="minorEastAsia" w:eastAsiaTheme="minorEastAsia"/>
          <w:sz w:val="24"/>
          <w:szCs w:val="24"/>
        </w:rPr>
        <w:t>本”或“副本”字样。</w:t>
      </w:r>
      <w:r>
        <w:rPr>
          <w:rFonts w:hint="eastAsia" w:cs="宋体" w:asciiTheme="minorEastAsia" w:hAnsiTheme="minorEastAsia" w:eastAsiaTheme="minorEastAsia"/>
          <w:sz w:val="24"/>
          <w:szCs w:val="24"/>
          <w:lang w:val="en-US" w:eastAsia="zh-CN"/>
        </w:rPr>
        <w:t>副本可为正本的完整复印件，</w:t>
      </w:r>
      <w:r>
        <w:rPr>
          <w:rFonts w:hint="eastAsia" w:cs="宋体" w:asciiTheme="minorEastAsia" w:hAnsiTheme="minorEastAsia" w:eastAsiaTheme="minorEastAsia"/>
          <w:sz w:val="24"/>
          <w:szCs w:val="24"/>
        </w:rPr>
        <w:t>若正本和副本有不一致的内容，以正本响应文件为准，每本响应文件装订方式应为左侧无线胶装（</w:t>
      </w:r>
      <w:r>
        <w:rPr>
          <w:rFonts w:hint="eastAsia" w:cs="宋体" w:asciiTheme="minorEastAsia" w:hAnsiTheme="minorEastAsia" w:eastAsiaTheme="minorEastAsia"/>
          <w:b/>
          <w:sz w:val="24"/>
          <w:szCs w:val="24"/>
        </w:rPr>
        <w:t>合页夹装订无效，并做为废标处理</w:t>
      </w:r>
      <w:r>
        <w:rPr>
          <w:rFonts w:hint="eastAsia" w:cs="宋体" w:asciiTheme="minorEastAsia" w:hAnsiTheme="minorEastAsia" w:eastAsiaTheme="minorEastAsia"/>
          <w:sz w:val="24"/>
          <w:szCs w:val="24"/>
        </w:rPr>
        <w:t>）。</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2.3 </w:t>
      </w:r>
      <w:r>
        <w:rPr>
          <w:rFonts w:hint="eastAsia" w:cs="宋体" w:asciiTheme="minorEastAsia" w:hAnsiTheme="minorEastAsia" w:eastAsiaTheme="minorEastAsia"/>
          <w:sz w:val="24"/>
          <w:szCs w:val="24"/>
        </w:rPr>
        <w:t>响应文件应由配送服务企业法定代表人或经其正式授权的代理人在“响应文件”要求签</w:t>
      </w:r>
      <w:r>
        <w:rPr>
          <w:rFonts w:hint="eastAsia" w:cs="宋体" w:asciiTheme="minorEastAsia" w:hAnsiTheme="minorEastAsia" w:eastAsiaTheme="minorEastAsia"/>
          <w:sz w:val="24"/>
          <w:szCs w:val="24"/>
          <w:lang w:val="en-US" w:eastAsia="zh-CN"/>
        </w:rPr>
        <w:t>字</w:t>
      </w:r>
      <w:r>
        <w:rPr>
          <w:rFonts w:hint="eastAsia" w:cs="宋体" w:asciiTheme="minorEastAsia" w:hAnsiTheme="minorEastAsia" w:eastAsiaTheme="minorEastAsia"/>
          <w:sz w:val="24"/>
          <w:szCs w:val="24"/>
        </w:rPr>
        <w:t>的地方</w:t>
      </w:r>
      <w:r>
        <w:rPr>
          <w:rFonts w:hint="eastAsia" w:cs="宋体" w:asciiTheme="minorEastAsia" w:hAnsiTheme="minorEastAsia" w:eastAsiaTheme="minorEastAsia"/>
          <w:sz w:val="24"/>
          <w:szCs w:val="24"/>
          <w:lang w:val="en-US" w:eastAsia="zh-CN"/>
        </w:rPr>
        <w:t>必须签字</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lang w:val="en-US" w:eastAsia="zh-CN"/>
        </w:rPr>
        <w:t>要求盖章的地方必须盖章，</w:t>
      </w:r>
      <w:r>
        <w:rPr>
          <w:rFonts w:hint="eastAsia" w:cs="宋体" w:asciiTheme="minorEastAsia" w:hAnsiTheme="minorEastAsia" w:eastAsiaTheme="minorEastAsia"/>
          <w:sz w:val="24"/>
          <w:szCs w:val="24"/>
        </w:rPr>
        <w:t>并在每本响应文件封面标明资格性响应文件、技术服务性响应文件正本（或副本）、项目名称、配送服务企业名称。</w:t>
      </w:r>
    </w:p>
    <w:p>
      <w:pPr>
        <w:spacing w:line="600" w:lineRule="exact"/>
        <w:ind w:left="480"/>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响应文件的递交</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3.1 </w:t>
      </w:r>
      <w:r>
        <w:rPr>
          <w:rFonts w:hint="eastAsia" w:cs="宋体" w:asciiTheme="minorEastAsia" w:hAnsiTheme="minorEastAsia" w:eastAsiaTheme="minorEastAsia"/>
          <w:sz w:val="24"/>
          <w:szCs w:val="24"/>
        </w:rPr>
        <w:t>各配送服务企业应在报价当日并在本招标文件“第一章投标邀请”规定的响应文</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件递交截止时间前，将响应文件送达招标地点。</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3.2</w:t>
      </w:r>
      <w:r>
        <w:rPr>
          <w:rFonts w:hint="eastAsia" w:cs="宋体" w:asciiTheme="minorEastAsia" w:hAnsiTheme="minorEastAsia" w:eastAsiaTheme="minorEastAsia"/>
          <w:sz w:val="24"/>
          <w:szCs w:val="24"/>
        </w:rPr>
        <w:t>招标人将不接受招标截止时间后递交的响应文件。</w:t>
      </w: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spacing w:line="600" w:lineRule="exact"/>
        <w:rPr>
          <w:rFonts w:cs="Times New Roman" w:asciiTheme="minorEastAsia" w:hAnsiTheme="minorEastAsia" w:eastAsiaTheme="minorEastAsia"/>
          <w:sz w:val="24"/>
          <w:szCs w:val="24"/>
        </w:rPr>
      </w:pPr>
    </w:p>
    <w:p>
      <w:pPr>
        <w:rPr>
          <w:rFonts w:hint="eastAsia"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br w:type="page"/>
      </w:r>
    </w:p>
    <w:p>
      <w:pPr>
        <w:spacing w:line="600" w:lineRule="exact"/>
        <w:ind w:right="120"/>
        <w:jc w:val="center"/>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第三章  采购项目技术及商务要求</w:t>
      </w:r>
    </w:p>
    <w:p>
      <w:pPr>
        <w:spacing w:line="600" w:lineRule="exact"/>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一、采购项目内容</w:t>
      </w:r>
    </w:p>
    <w:p>
      <w:pPr>
        <w:spacing w:line="360" w:lineRule="auto"/>
        <w:ind w:firstLine="480" w:firstLineChars="200"/>
        <w:rPr>
          <w:rFonts w:ascii="宋体" w:hAnsi="宋体" w:cs="宋体"/>
          <w:sz w:val="24"/>
          <w:szCs w:val="24"/>
        </w:rPr>
      </w:pPr>
      <w:bookmarkStart w:id="6" w:name="_Toc340223144"/>
      <w:bookmarkStart w:id="7" w:name="_Toc8499"/>
      <w:bookmarkStart w:id="8" w:name="_Toc267320049"/>
      <w:r>
        <w:rPr>
          <w:rFonts w:hint="eastAsia" w:ascii="宋体" w:hAnsi="宋体" w:cs="宋体"/>
          <w:sz w:val="24"/>
          <w:szCs w:val="24"/>
        </w:rPr>
        <w:t>此次采购项目为学生食堂原材料配送服务入围企业招标，其内容为：米、面、油、干副</w:t>
      </w:r>
      <w:r>
        <w:rPr>
          <w:rFonts w:hint="eastAsia" w:ascii="宋体" w:hAnsi="宋体" w:cs="宋体"/>
          <w:sz w:val="24"/>
          <w:szCs w:val="24"/>
          <w:lang w:eastAsia="zh-CN"/>
        </w:rPr>
        <w:t>类、</w:t>
      </w:r>
      <w:r>
        <w:rPr>
          <w:rFonts w:hint="eastAsia" w:ascii="宋体" w:hAnsi="宋体" w:cs="宋体"/>
          <w:sz w:val="24"/>
          <w:szCs w:val="24"/>
        </w:rPr>
        <w:t>杂支类</w:t>
      </w:r>
      <w:r>
        <w:rPr>
          <w:rFonts w:hint="eastAsia" w:ascii="宋体" w:hAnsi="宋体" w:cs="宋体"/>
          <w:sz w:val="24"/>
          <w:szCs w:val="24"/>
          <w:lang w:eastAsia="zh-CN"/>
        </w:rPr>
        <w:t>、猪</w:t>
      </w:r>
      <w:r>
        <w:rPr>
          <w:rFonts w:hint="eastAsia" w:ascii="宋体" w:hAnsi="宋体" w:cs="宋体"/>
          <w:sz w:val="24"/>
          <w:szCs w:val="24"/>
        </w:rPr>
        <w:t>肉</w:t>
      </w:r>
      <w:r>
        <w:rPr>
          <w:rFonts w:hint="eastAsia" w:ascii="宋体" w:hAnsi="宋体" w:cs="宋体"/>
          <w:sz w:val="24"/>
          <w:szCs w:val="24"/>
          <w:lang w:eastAsia="zh-CN"/>
        </w:rPr>
        <w:t>类</w:t>
      </w:r>
      <w:r>
        <w:rPr>
          <w:rFonts w:hint="eastAsia" w:ascii="宋体" w:hAnsi="宋体" w:cs="宋体"/>
          <w:sz w:val="24"/>
          <w:szCs w:val="24"/>
        </w:rPr>
        <w:t>、家禽类、禽蛋类、牛肉系列、水产品类、冻货</w:t>
      </w:r>
      <w:r>
        <w:rPr>
          <w:rFonts w:hint="eastAsia" w:ascii="宋体" w:hAnsi="宋体" w:cs="宋体"/>
          <w:sz w:val="24"/>
          <w:szCs w:val="24"/>
          <w:lang w:eastAsia="zh-CN"/>
        </w:rPr>
        <w:t>类</w:t>
      </w:r>
      <w:r>
        <w:rPr>
          <w:rFonts w:hint="eastAsia" w:ascii="宋体" w:hAnsi="宋体" w:cs="宋体"/>
          <w:sz w:val="24"/>
          <w:szCs w:val="24"/>
        </w:rPr>
        <w:t>、</w:t>
      </w:r>
      <w:r>
        <w:rPr>
          <w:rFonts w:hint="eastAsia" w:ascii="宋体" w:hAnsi="宋体" w:cs="宋体"/>
          <w:sz w:val="24"/>
          <w:szCs w:val="24"/>
          <w:lang w:eastAsia="zh-CN"/>
        </w:rPr>
        <w:t>蔬菜类</w:t>
      </w:r>
      <w:r>
        <w:rPr>
          <w:rFonts w:hint="eastAsia" w:ascii="宋体" w:hAnsi="宋体" w:cs="宋体"/>
          <w:sz w:val="24"/>
          <w:szCs w:val="24"/>
        </w:rPr>
        <w:t>、面食类等品种。</w:t>
      </w:r>
    </w:p>
    <w:p>
      <w:pPr>
        <w:spacing w:line="60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标包：</w:t>
      </w:r>
    </w:p>
    <w:p>
      <w:pPr>
        <w:ind w:firstLine="480" w:firstLineChars="200"/>
        <w:rPr>
          <w:rFonts w:hint="eastAsia" w:ascii="宋体" w:hAnsi="宋体" w:cs="宋体"/>
          <w:color w:val="000000"/>
          <w:sz w:val="24"/>
          <w:szCs w:val="24"/>
        </w:rPr>
      </w:pPr>
      <w:r>
        <w:rPr>
          <w:rFonts w:hint="eastAsia" w:cs="宋体" w:asciiTheme="minorEastAsia" w:hAnsiTheme="minorEastAsia" w:eastAsiaTheme="minorEastAsia"/>
          <w:color w:val="000000"/>
          <w:kern w:val="2"/>
          <w:sz w:val="24"/>
          <w:szCs w:val="24"/>
        </w:rPr>
        <w:t>包一：</w:t>
      </w:r>
      <w:r>
        <w:rPr>
          <w:rFonts w:hint="eastAsia" w:ascii="宋体" w:hAnsi="宋体" w:cs="宋体"/>
          <w:color w:val="000000"/>
          <w:sz w:val="24"/>
          <w:szCs w:val="24"/>
        </w:rPr>
        <w:t>大米类、面粉类、食用油</w:t>
      </w:r>
      <w:r>
        <w:rPr>
          <w:rFonts w:hint="eastAsia" w:ascii="宋体" w:hAnsi="宋体" w:cs="宋体"/>
          <w:color w:val="000000"/>
          <w:sz w:val="24"/>
          <w:szCs w:val="24"/>
          <w:lang w:eastAsia="zh-CN"/>
        </w:rPr>
        <w:t>类、干</w:t>
      </w:r>
      <w:r>
        <w:rPr>
          <w:rFonts w:hint="eastAsia" w:ascii="宋体" w:hAnsi="宋体" w:cs="宋体"/>
          <w:color w:val="000000"/>
          <w:sz w:val="24"/>
          <w:szCs w:val="24"/>
        </w:rPr>
        <w:t>副</w:t>
      </w:r>
      <w:r>
        <w:rPr>
          <w:rFonts w:hint="eastAsia" w:ascii="宋体" w:hAnsi="宋体" w:cs="宋体"/>
          <w:color w:val="000000"/>
          <w:sz w:val="24"/>
          <w:szCs w:val="24"/>
          <w:lang w:eastAsia="zh-CN"/>
        </w:rPr>
        <w:t>类、</w:t>
      </w:r>
      <w:r>
        <w:rPr>
          <w:rFonts w:hint="eastAsia" w:ascii="宋体" w:hAnsi="宋体" w:cs="宋体"/>
          <w:color w:val="000000"/>
          <w:sz w:val="24"/>
          <w:szCs w:val="24"/>
        </w:rPr>
        <w:t>杂支、低值易耗品、洗涤剂等餐辅用品</w:t>
      </w:r>
    </w:p>
    <w:p>
      <w:pPr>
        <w:ind w:firstLine="480" w:firstLineChars="200"/>
        <w:rPr>
          <w:rFonts w:hint="eastAsia" w:ascii="宋体" w:hAnsi="宋体" w:cs="宋体"/>
          <w:color w:val="000000"/>
          <w:sz w:val="24"/>
          <w:szCs w:val="24"/>
        </w:rPr>
      </w:pPr>
    </w:p>
    <w:p>
      <w:pPr>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color w:val="000000"/>
          <w:kern w:val="2"/>
          <w:sz w:val="24"/>
          <w:szCs w:val="24"/>
        </w:rPr>
        <w:t>包二：</w:t>
      </w:r>
      <w:r>
        <w:rPr>
          <w:rFonts w:hint="eastAsia" w:ascii="宋体" w:hAnsi="宋体" w:cs="宋体"/>
          <w:color w:val="000000"/>
          <w:sz w:val="24"/>
          <w:szCs w:val="24"/>
        </w:rPr>
        <w:t>鲜活猪肉</w:t>
      </w:r>
      <w:r>
        <w:rPr>
          <w:rFonts w:hint="eastAsia" w:ascii="宋体" w:hAnsi="宋体" w:cs="宋体"/>
          <w:color w:val="000000"/>
          <w:sz w:val="24"/>
          <w:szCs w:val="24"/>
          <w:lang w:eastAsia="zh-CN"/>
        </w:rPr>
        <w:t>、家禽类、</w:t>
      </w:r>
      <w:r>
        <w:rPr>
          <w:rFonts w:hint="eastAsia" w:ascii="宋体" w:hAnsi="宋体" w:cs="宋体"/>
          <w:color w:val="000000"/>
          <w:sz w:val="24"/>
          <w:szCs w:val="24"/>
        </w:rPr>
        <w:t>蛋类、牛肉、水产品</w:t>
      </w:r>
      <w:r>
        <w:rPr>
          <w:rFonts w:hint="eastAsia" w:ascii="宋体" w:hAnsi="宋体" w:cs="宋体"/>
          <w:color w:val="000000"/>
          <w:sz w:val="24"/>
          <w:szCs w:val="24"/>
          <w:lang w:eastAsia="zh-CN"/>
        </w:rPr>
        <w:t>、冻货产品</w:t>
      </w:r>
    </w:p>
    <w:p>
      <w:pPr>
        <w:spacing w:line="60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color w:val="000000"/>
          <w:kern w:val="2"/>
          <w:sz w:val="24"/>
          <w:szCs w:val="24"/>
        </w:rPr>
        <w:t>包三：</w:t>
      </w:r>
      <w:r>
        <w:rPr>
          <w:rFonts w:hint="eastAsia" w:ascii="宋体" w:hAnsi="宋体" w:cs="宋体"/>
          <w:color w:val="000000"/>
          <w:sz w:val="24"/>
          <w:szCs w:val="24"/>
        </w:rPr>
        <w:t>蔬菜</w:t>
      </w:r>
      <w:r>
        <w:rPr>
          <w:rFonts w:hint="eastAsia" w:ascii="宋体" w:hAnsi="宋体" w:cs="宋体"/>
          <w:color w:val="000000"/>
          <w:sz w:val="24"/>
          <w:szCs w:val="24"/>
          <w:lang w:eastAsia="zh-CN"/>
        </w:rPr>
        <w:t>类</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面食类：水面、饺子、米线、汤圆等</w:t>
      </w:r>
    </w:p>
    <w:p>
      <w:pPr>
        <w:spacing w:line="6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二、服务时间、地点及验收方式</w:t>
      </w:r>
      <w:bookmarkEnd w:id="6"/>
      <w:bookmarkEnd w:id="7"/>
      <w:bookmarkEnd w:id="8"/>
    </w:p>
    <w:p>
      <w:pPr>
        <w:snapToGrid w:val="0"/>
        <w:spacing w:line="600" w:lineRule="exact"/>
        <w:rPr>
          <w:rFonts w:cs="宋体" w:asciiTheme="minorEastAsia" w:hAnsiTheme="minorEastAsia" w:eastAsiaTheme="minorEastAsia"/>
          <w:color w:val="auto"/>
          <w:sz w:val="24"/>
          <w:szCs w:val="24"/>
        </w:rPr>
      </w:pPr>
      <w:r>
        <w:rPr>
          <w:rFonts w:hint="eastAsia" w:cs="宋体" w:asciiTheme="minorEastAsia" w:hAnsiTheme="minorEastAsia" w:eastAsiaTheme="minorEastAsia"/>
          <w:color w:val="auto"/>
          <w:sz w:val="24"/>
          <w:szCs w:val="24"/>
        </w:rPr>
        <w:t>（一）服务时间</w:t>
      </w:r>
    </w:p>
    <w:p>
      <w:pPr>
        <w:snapToGrid w:val="0"/>
        <w:spacing w:line="600" w:lineRule="exact"/>
        <w:ind w:firstLine="480" w:firstLineChars="200"/>
        <w:rPr>
          <w:rFonts w:hint="eastAsia"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auto"/>
          <w:sz w:val="24"/>
          <w:szCs w:val="24"/>
        </w:rPr>
        <w:t>服务期限：</w:t>
      </w:r>
      <w:r>
        <w:rPr>
          <w:rFonts w:hint="eastAsia" w:cs="宋体" w:asciiTheme="minorEastAsia" w:hAnsiTheme="minorEastAsia" w:eastAsiaTheme="minorEastAsia"/>
          <w:color w:val="auto"/>
          <w:sz w:val="24"/>
          <w:szCs w:val="24"/>
          <w:lang w:val="en-US" w:eastAsia="zh-CN"/>
        </w:rPr>
        <w:t>1年</w:t>
      </w:r>
      <w:r>
        <w:rPr>
          <w:rFonts w:hint="eastAsia" w:cs="宋体" w:asciiTheme="minorEastAsia" w:hAnsiTheme="minorEastAsia" w:eastAsiaTheme="minorEastAsia"/>
          <w:color w:val="000000"/>
          <w:sz w:val="24"/>
          <w:szCs w:val="24"/>
        </w:rPr>
        <w:t>。</w:t>
      </w:r>
    </w:p>
    <w:p>
      <w:pPr>
        <w:snapToGrid w:val="0"/>
        <w:spacing w:line="6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（二）服务地点</w:t>
      </w:r>
    </w:p>
    <w:p>
      <w:pPr>
        <w:snapToGrid w:val="0"/>
        <w:spacing w:line="600" w:lineRule="exact"/>
        <w:ind w:firstLine="480" w:firstLineChars="200"/>
        <w:rPr>
          <w:rFonts w:hint="eastAsia" w:cs="宋体" w:asciiTheme="minorEastAsia" w:hAnsiTheme="minorEastAsia" w:eastAsiaTheme="minorEastAsia"/>
          <w:color w:val="000000"/>
          <w:sz w:val="24"/>
          <w:szCs w:val="24"/>
          <w:lang w:eastAsia="zh-CN"/>
        </w:rPr>
      </w:pPr>
      <w:r>
        <w:rPr>
          <w:rFonts w:hint="eastAsia" w:cs="宋体" w:asciiTheme="minorEastAsia" w:hAnsiTheme="minorEastAsia" w:eastAsiaTheme="minorEastAsia"/>
          <w:color w:val="000000"/>
          <w:sz w:val="24"/>
          <w:szCs w:val="24"/>
        </w:rPr>
        <w:t>服务地点：</w:t>
      </w:r>
      <w:r>
        <w:rPr>
          <w:rFonts w:hint="eastAsia" w:cs="宋体" w:asciiTheme="minorEastAsia" w:hAnsiTheme="minorEastAsia" w:eastAsiaTheme="minorEastAsia"/>
          <w:color w:val="000000"/>
          <w:sz w:val="24"/>
          <w:szCs w:val="24"/>
          <w:lang w:eastAsia="zh-CN"/>
        </w:rPr>
        <w:t>重庆商务职业学院</w:t>
      </w:r>
    </w:p>
    <w:p>
      <w:pPr>
        <w:snapToGrid w:val="0"/>
        <w:spacing w:line="6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（三）验收与考核的标准及要求</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 </w:t>
      </w:r>
      <w:r>
        <w:rPr>
          <w:rFonts w:hint="eastAsia" w:cs="宋体" w:asciiTheme="minorEastAsia" w:hAnsiTheme="minorEastAsia" w:eastAsiaTheme="minorEastAsia"/>
          <w:sz w:val="24"/>
          <w:szCs w:val="24"/>
        </w:rPr>
        <w:t>本项目招标人将严格按照《</w:t>
      </w:r>
      <w:r>
        <w:rPr>
          <w:rFonts w:hint="eastAsia" w:cs="宋体" w:asciiTheme="minorEastAsia" w:hAnsiTheme="minorEastAsia" w:eastAsiaTheme="minorEastAsia"/>
          <w:sz w:val="24"/>
          <w:szCs w:val="24"/>
          <w:lang w:eastAsia="zh-CN"/>
        </w:rPr>
        <w:t>重庆商务职业学院</w:t>
      </w:r>
      <w:r>
        <w:rPr>
          <w:rFonts w:hint="eastAsia" w:cs="宋体" w:asciiTheme="minorEastAsia" w:hAnsiTheme="minorEastAsia" w:eastAsiaTheme="minorEastAsia"/>
          <w:sz w:val="24"/>
          <w:szCs w:val="24"/>
        </w:rPr>
        <w:t>原材料配送服务验收标准》要求进行验收。</w:t>
      </w:r>
    </w:p>
    <w:p>
      <w:pPr>
        <w:snapToGrid w:val="0"/>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 本项目招标人将严格按照《</w:t>
      </w:r>
      <w:r>
        <w:rPr>
          <w:rFonts w:hint="eastAsia" w:cs="宋体" w:asciiTheme="minorEastAsia" w:hAnsiTheme="minorEastAsia" w:eastAsiaTheme="minorEastAsia"/>
          <w:sz w:val="24"/>
          <w:szCs w:val="24"/>
          <w:lang w:eastAsia="zh-CN"/>
        </w:rPr>
        <w:t>重庆商务职业学院</w:t>
      </w:r>
      <w:r>
        <w:rPr>
          <w:rFonts w:hint="eastAsia" w:cs="宋体" w:asciiTheme="minorEastAsia" w:hAnsiTheme="minorEastAsia" w:eastAsiaTheme="minorEastAsia"/>
          <w:sz w:val="24"/>
          <w:szCs w:val="24"/>
        </w:rPr>
        <w:t>原材料配送服务企业管理考核办法》要求进行考核。</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 在履行合同期间，验收或考核结果不合格的，履约保证金将不予退还，也将不予支付采购资金，并解除合同，并赔偿招标人的损失。还可能会报告本项目同级财政部门按照政府采购法律法规等有关规定给予行政处罚或者以失信行为记入诚信档案。</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验收或考核结果合格的，履行合同期满后，中标人凭验收报告办理履约保证金无息的退付手续。</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cs="宋体" w:asciiTheme="minorEastAsia" w:hAnsiTheme="minorEastAsia" w:eastAsiaTheme="minorEastAsia"/>
          <w:sz w:val="24"/>
          <w:szCs w:val="24"/>
        </w:rPr>
        <w:t>.</w:t>
      </w:r>
      <w:r>
        <w:rPr>
          <w:rFonts w:hint="eastAsia" w:asciiTheme="minorEastAsia" w:hAnsiTheme="minorEastAsia" w:eastAsiaTheme="minorEastAsia"/>
          <w:sz w:val="24"/>
          <w:szCs w:val="24"/>
          <w:lang w:eastAsia="zh-CN"/>
        </w:rPr>
        <w:t>重庆商务职业学院</w:t>
      </w:r>
      <w:r>
        <w:rPr>
          <w:rFonts w:hint="eastAsia" w:cs="宋体" w:asciiTheme="minorEastAsia" w:hAnsiTheme="minorEastAsia" w:eastAsiaTheme="minorEastAsia"/>
          <w:sz w:val="24"/>
          <w:szCs w:val="24"/>
        </w:rPr>
        <w:t>对每次配送的食材，严格把关，查看批次食品的检验、检疫报告、合格证、出厂日期以及食品色泽、味道等，若异常拒绝接受。</w:t>
      </w:r>
    </w:p>
    <w:p>
      <w:pPr>
        <w:snapToGrid w:val="0"/>
        <w:spacing w:line="600" w:lineRule="exact"/>
        <w:rPr>
          <w:rFonts w:cs="宋体" w:asciiTheme="minorEastAsia" w:hAnsiTheme="minorEastAsia" w:eastAsiaTheme="minorEastAsia"/>
          <w:b/>
          <w:sz w:val="24"/>
          <w:szCs w:val="24"/>
        </w:rPr>
      </w:pPr>
      <w:bookmarkStart w:id="9" w:name="_Toc340223145"/>
      <w:bookmarkStart w:id="10" w:name="_Toc21225"/>
      <w:bookmarkStart w:id="11" w:name="_Toc267320050"/>
      <w:r>
        <w:rPr>
          <w:rFonts w:hint="eastAsia" w:cs="宋体" w:asciiTheme="minorEastAsia" w:hAnsiTheme="minorEastAsia" w:eastAsiaTheme="minorEastAsia"/>
          <w:b/>
          <w:sz w:val="24"/>
          <w:szCs w:val="24"/>
        </w:rPr>
        <w:t>三、报价要求</w:t>
      </w:r>
      <w:bookmarkEnd w:id="9"/>
      <w:bookmarkEnd w:id="10"/>
    </w:p>
    <w:p>
      <w:pPr>
        <w:snapToGrid w:val="0"/>
        <w:spacing w:line="600" w:lineRule="exact"/>
        <w:ind w:firstLine="480" w:firstLineChars="200"/>
        <w:rPr>
          <w:rFonts w:cs="宋体" w:asciiTheme="minorEastAsia" w:hAnsiTheme="minorEastAsia" w:eastAsiaTheme="minorEastAsia"/>
          <w:sz w:val="24"/>
          <w:szCs w:val="24"/>
        </w:rPr>
      </w:pPr>
      <w:bookmarkStart w:id="12" w:name="_Toc340223146"/>
      <w:r>
        <w:rPr>
          <w:rFonts w:hint="eastAsia" w:cs="宋体" w:asciiTheme="minorEastAsia" w:hAnsiTheme="minorEastAsia" w:eastAsiaTheme="minorEastAsia"/>
          <w:sz w:val="24"/>
          <w:szCs w:val="24"/>
        </w:rPr>
        <w:t>本项目不报价，供货价格随行就市，根据市场调研行情招标人与供货企业协商确定，但具体执行价格不得高于市场上同质商品的零售价格。所有产品供货价格及价格变动信息须按规定程序和要求报招标人备案并接收监督。</w:t>
      </w:r>
      <w:bookmarkStart w:id="13" w:name="_Toc21369"/>
    </w:p>
    <w:p>
      <w:pPr>
        <w:spacing w:line="600" w:lineRule="exact"/>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四、招标人的需求</w:t>
      </w:r>
    </w:p>
    <w:p>
      <w:pPr>
        <w:pStyle w:val="40"/>
        <w:tabs>
          <w:tab w:val="left" w:pos="1276"/>
        </w:tabs>
        <w:spacing w:line="600" w:lineRule="exact"/>
        <w:ind w:firstLine="429" w:firstLineChars="179"/>
        <w:rPr>
          <w:rFonts w:asciiTheme="minorEastAsia" w:hAnsiTheme="minorEastAsia" w:eastAsiaTheme="minorEastAsia"/>
          <w:color w:val="auto"/>
        </w:rPr>
      </w:pPr>
      <w:r>
        <w:rPr>
          <w:rFonts w:hint="eastAsia" w:cs="宋体" w:asciiTheme="minorEastAsia" w:hAnsiTheme="minorEastAsia" w:eastAsiaTheme="minorEastAsia"/>
        </w:rPr>
        <w:t>配送服务企业应给予所需方无偿提供专供库房，其容量为所需方一个阶段（</w:t>
      </w:r>
      <w:r>
        <w:rPr>
          <w:rFonts w:cs="宋体" w:asciiTheme="minorEastAsia" w:hAnsiTheme="minorEastAsia" w:eastAsiaTheme="minorEastAsia"/>
        </w:rPr>
        <w:t>6</w:t>
      </w:r>
      <w:r>
        <w:rPr>
          <w:rFonts w:hint="eastAsia" w:cs="宋体" w:asciiTheme="minorEastAsia" w:hAnsiTheme="minorEastAsia" w:eastAsiaTheme="minorEastAsia"/>
        </w:rPr>
        <w:t>个月）所需的物资库存量，应提供相应的信息共享平台等。</w:t>
      </w:r>
    </w:p>
    <w:p>
      <w:pPr>
        <w:spacing w:line="6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五、</w:t>
      </w:r>
      <w:r>
        <w:rPr>
          <w:rFonts w:hint="eastAsia" w:cs="Times New Roman" w:asciiTheme="minorEastAsia" w:hAnsiTheme="minorEastAsia" w:eastAsiaTheme="minorEastAsia"/>
          <w:b/>
          <w:bCs/>
          <w:sz w:val="24"/>
          <w:szCs w:val="24"/>
        </w:rPr>
        <w:t>原材料定价基本原则及方式</w:t>
      </w:r>
    </w:p>
    <w:p>
      <w:pPr>
        <w:spacing w:line="600" w:lineRule="exact"/>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（一）原材料定价周期</w:t>
      </w:r>
    </w:p>
    <w:p>
      <w:pPr>
        <w:spacing w:line="600" w:lineRule="exact"/>
        <w:ind w:firstLine="705" w:firstLineChars="294"/>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1.蔬菜实行周定价制；</w:t>
      </w:r>
    </w:p>
    <w:p>
      <w:pPr>
        <w:spacing w:line="600" w:lineRule="exact"/>
        <w:ind w:firstLine="705" w:firstLineChars="294"/>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2.其他原材料因价格波动性较小，实行月定价制。</w:t>
      </w:r>
    </w:p>
    <w:p>
      <w:pPr>
        <w:spacing w:line="600" w:lineRule="exact"/>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（二）原材料定价人员的组成</w:t>
      </w:r>
    </w:p>
    <w:p>
      <w:pPr>
        <w:spacing w:line="600" w:lineRule="exact"/>
        <w:ind w:firstLine="705" w:firstLineChars="294"/>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定价小组由招标人相关人员组成。</w:t>
      </w:r>
    </w:p>
    <w:p>
      <w:pPr>
        <w:spacing w:line="600" w:lineRule="exact"/>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（三）原材料定价总原则：</w:t>
      </w:r>
    </w:p>
    <w:p>
      <w:pPr>
        <w:spacing w:line="600" w:lineRule="exact"/>
        <w:ind w:firstLine="705" w:firstLineChars="294"/>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1.原材料品质必须以《中华人民共和国食品安全法》为基本标准；</w:t>
      </w:r>
    </w:p>
    <w:p>
      <w:pPr>
        <w:spacing w:line="600" w:lineRule="exact"/>
        <w:ind w:firstLine="705" w:firstLineChars="294"/>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2.以批发市场访价、联营食堂购进价格为定价基数；</w:t>
      </w:r>
    </w:p>
    <w:p>
      <w:pPr>
        <w:spacing w:line="600" w:lineRule="exact"/>
        <w:ind w:firstLine="588" w:firstLineChars="245"/>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3.以供货商报价、批发市场巡价、联营食堂采购价、农贸市场零售价、周边高校采购价作为定价参考值；</w:t>
      </w:r>
    </w:p>
    <w:p>
      <w:pPr>
        <w:spacing w:line="600" w:lineRule="exact"/>
        <w:ind w:firstLine="588" w:firstLineChars="245"/>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4.每项单一品种最终确定价</w:t>
      </w:r>
      <w:r>
        <w:rPr>
          <w:rFonts w:hint="eastAsia" w:cs="Times New Roman" w:asciiTheme="minorEastAsia" w:hAnsiTheme="minorEastAsia" w:eastAsiaTheme="minorEastAsia"/>
          <w:bCs/>
          <w:sz w:val="24"/>
          <w:szCs w:val="24"/>
          <w:lang w:eastAsia="zh-CN"/>
        </w:rPr>
        <w:t>不得高于市场均价</w:t>
      </w:r>
      <w:r>
        <w:rPr>
          <w:rFonts w:hint="eastAsia" w:cs="Times New Roman" w:asciiTheme="minorEastAsia" w:hAnsiTheme="minorEastAsia" w:eastAsiaTheme="minorEastAsia"/>
          <w:bCs/>
          <w:sz w:val="24"/>
          <w:szCs w:val="24"/>
        </w:rPr>
        <w:t>。</w:t>
      </w:r>
    </w:p>
    <w:p>
      <w:pPr>
        <w:spacing w:line="600" w:lineRule="exact"/>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（四）原材料定价规则：</w:t>
      </w:r>
    </w:p>
    <w:p>
      <w:pPr>
        <w:spacing w:line="600" w:lineRule="exact"/>
        <w:ind w:firstLine="600" w:firstLineChars="250"/>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1.若</w:t>
      </w:r>
      <w:r>
        <w:rPr>
          <w:rFonts w:hint="eastAsia" w:cs="宋体" w:asciiTheme="minorEastAsia" w:hAnsiTheme="minorEastAsia" w:eastAsiaTheme="minorEastAsia"/>
          <w:sz w:val="24"/>
          <w:szCs w:val="24"/>
        </w:rPr>
        <w:t>配送服务企业</w:t>
      </w:r>
      <w:r>
        <w:rPr>
          <w:rFonts w:hint="eastAsia" w:cs="Times New Roman" w:asciiTheme="minorEastAsia" w:hAnsiTheme="minorEastAsia" w:eastAsiaTheme="minorEastAsia"/>
          <w:bCs/>
          <w:sz w:val="24"/>
          <w:szCs w:val="24"/>
        </w:rPr>
        <w:t>报价低于访价及联营食堂采购价，则以</w:t>
      </w:r>
      <w:r>
        <w:rPr>
          <w:rFonts w:hint="eastAsia" w:cs="宋体" w:asciiTheme="minorEastAsia" w:hAnsiTheme="minorEastAsia" w:eastAsiaTheme="minorEastAsia"/>
          <w:sz w:val="24"/>
          <w:szCs w:val="24"/>
        </w:rPr>
        <w:t>配送服务企业</w:t>
      </w:r>
      <w:r>
        <w:rPr>
          <w:rFonts w:hint="eastAsia" w:cs="Times New Roman" w:asciiTheme="minorEastAsia" w:hAnsiTheme="minorEastAsia" w:eastAsiaTheme="minorEastAsia"/>
          <w:bCs/>
          <w:sz w:val="24"/>
          <w:szCs w:val="24"/>
        </w:rPr>
        <w:t>报价作为此品种最终定价；</w:t>
      </w:r>
    </w:p>
    <w:p>
      <w:pPr>
        <w:spacing w:line="600" w:lineRule="exact"/>
        <w:ind w:firstLine="480" w:firstLineChars="200"/>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2.若</w:t>
      </w:r>
      <w:r>
        <w:rPr>
          <w:rFonts w:hint="eastAsia" w:cs="宋体" w:asciiTheme="minorEastAsia" w:hAnsiTheme="minorEastAsia" w:eastAsiaTheme="minorEastAsia"/>
          <w:sz w:val="24"/>
          <w:szCs w:val="24"/>
        </w:rPr>
        <w:t>配送服务企业</w:t>
      </w:r>
      <w:r>
        <w:rPr>
          <w:rFonts w:hint="eastAsia" w:cs="Times New Roman" w:asciiTheme="minorEastAsia" w:hAnsiTheme="minorEastAsia" w:eastAsiaTheme="minorEastAsia"/>
          <w:bCs/>
          <w:sz w:val="24"/>
          <w:szCs w:val="24"/>
        </w:rPr>
        <w:t>报价与联营食堂价格相同且高于访价，则定价在访价的基础上提高5-10%，但最终定价必须低于</w:t>
      </w:r>
      <w:r>
        <w:rPr>
          <w:rFonts w:hint="eastAsia" w:cs="宋体" w:asciiTheme="minorEastAsia" w:hAnsiTheme="minorEastAsia" w:eastAsiaTheme="minorEastAsia"/>
          <w:sz w:val="24"/>
          <w:szCs w:val="24"/>
        </w:rPr>
        <w:t>配送服务企业</w:t>
      </w:r>
      <w:r>
        <w:rPr>
          <w:rFonts w:hint="eastAsia" w:cs="Times New Roman" w:asciiTheme="minorEastAsia" w:hAnsiTheme="minorEastAsia" w:eastAsiaTheme="minorEastAsia"/>
          <w:bCs/>
          <w:sz w:val="24"/>
          <w:szCs w:val="24"/>
        </w:rPr>
        <w:t>报价；</w:t>
      </w:r>
    </w:p>
    <w:p>
      <w:pPr>
        <w:spacing w:line="600" w:lineRule="exact"/>
        <w:ind w:firstLine="480" w:firstLineChars="200"/>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3.若访价高于联营食堂购价和</w:t>
      </w:r>
      <w:r>
        <w:rPr>
          <w:rFonts w:hint="eastAsia" w:cs="宋体" w:asciiTheme="minorEastAsia" w:hAnsiTheme="minorEastAsia" w:eastAsiaTheme="minorEastAsia"/>
          <w:sz w:val="24"/>
          <w:szCs w:val="24"/>
        </w:rPr>
        <w:t>配送服务企业</w:t>
      </w:r>
      <w:r>
        <w:rPr>
          <w:rFonts w:hint="eastAsia" w:cs="Times New Roman" w:asciiTheme="minorEastAsia" w:hAnsiTheme="minorEastAsia" w:eastAsiaTheme="minorEastAsia"/>
          <w:bCs/>
          <w:sz w:val="24"/>
          <w:szCs w:val="24"/>
        </w:rPr>
        <w:t>报价，则以联营食堂在批发市场的采购价和</w:t>
      </w:r>
      <w:r>
        <w:rPr>
          <w:rFonts w:hint="eastAsia" w:cs="宋体" w:asciiTheme="minorEastAsia" w:hAnsiTheme="minorEastAsia" w:eastAsiaTheme="minorEastAsia"/>
          <w:sz w:val="24"/>
          <w:szCs w:val="24"/>
        </w:rPr>
        <w:t>配送服务企业</w:t>
      </w:r>
      <w:r>
        <w:rPr>
          <w:rFonts w:hint="eastAsia" w:cs="Times New Roman" w:asciiTheme="minorEastAsia" w:hAnsiTheme="minorEastAsia" w:eastAsiaTheme="minorEastAsia"/>
          <w:bCs/>
          <w:sz w:val="24"/>
          <w:szCs w:val="24"/>
        </w:rPr>
        <w:t>所报价的平均值作为最终定价；</w:t>
      </w:r>
    </w:p>
    <w:p>
      <w:pPr>
        <w:spacing w:line="600" w:lineRule="exact"/>
        <w:ind w:firstLine="480" w:firstLineChars="200"/>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4.因食堂急需的原材料及其他零星品种的原材料（因其量小且不经常使用）价格，则随市场行情而定；</w:t>
      </w:r>
    </w:p>
    <w:p>
      <w:pPr>
        <w:spacing w:line="600" w:lineRule="exact"/>
        <w:ind w:firstLine="480" w:firstLineChars="200"/>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5.低值、杂支类，因其品种的独特性（品种杂、规则多、单一品种的需求量少），对此类原材料的定价则依市场行情而定；</w:t>
      </w:r>
    </w:p>
    <w:p>
      <w:pPr>
        <w:spacing w:line="600" w:lineRule="exact"/>
        <w:ind w:firstLine="480" w:firstLineChars="200"/>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6.所有原材料价格在完成审批后，原则上在执行期内不作调整。若米、面、油、肉、鸡蛋在定价完成审批后，单一品质在执行期内连续半月上涨15%以上，则由</w:t>
      </w:r>
      <w:r>
        <w:rPr>
          <w:rFonts w:hint="eastAsia" w:cs="宋体" w:asciiTheme="minorEastAsia" w:hAnsiTheme="minorEastAsia" w:eastAsiaTheme="minorEastAsia"/>
          <w:sz w:val="24"/>
          <w:szCs w:val="24"/>
        </w:rPr>
        <w:t>配送服务企业</w:t>
      </w:r>
      <w:r>
        <w:rPr>
          <w:rFonts w:hint="eastAsia" w:cs="Times New Roman" w:asciiTheme="minorEastAsia" w:hAnsiTheme="minorEastAsia" w:eastAsiaTheme="minorEastAsia"/>
          <w:bCs/>
          <w:sz w:val="24"/>
          <w:szCs w:val="24"/>
        </w:rPr>
        <w:t>书面上报，经招标人批准后方可进行上浮价格调整。同样，若单一品种在执行期内连续半月下跌15%以上，则由招标人批准作下浮价格调整。</w:t>
      </w:r>
    </w:p>
    <w:p>
      <w:pPr>
        <w:spacing w:line="600" w:lineRule="exact"/>
        <w:ind w:firstLine="600" w:firstLineChars="250"/>
        <w:rPr>
          <w:rFonts w:cs="Times New Roman" w:asciiTheme="minorEastAsia" w:hAnsiTheme="minorEastAsia" w:eastAsiaTheme="minorEastAsia"/>
          <w:bCs/>
          <w:sz w:val="24"/>
          <w:szCs w:val="24"/>
        </w:rPr>
      </w:pPr>
      <w:r>
        <w:rPr>
          <w:rFonts w:hint="eastAsia" w:cs="Times New Roman" w:asciiTheme="minorEastAsia" w:hAnsiTheme="minorEastAsia" w:eastAsiaTheme="minorEastAsia"/>
          <w:bCs/>
          <w:sz w:val="24"/>
          <w:szCs w:val="24"/>
        </w:rPr>
        <w:t>7.若大宗原材料（米、面、油、肉、冻货）当月进货价格与上月定价出现±波动15%以上的必须以书面形式上招标人，并注详细说明。</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（五）当一方接到另一方需要调整价格时，双方约定重新协商定价时间，协商不成则按照合同有关条款之规定自行终止。</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（六）配送服务企业中标后须按招标人的要求执行。</w:t>
      </w:r>
    </w:p>
    <w:p>
      <w:pPr>
        <w:snapToGrid w:val="0"/>
        <w:spacing w:line="600" w:lineRule="exact"/>
        <w:rPr>
          <w:rFonts w:cs="宋体" w:asciiTheme="minorEastAsia" w:hAnsiTheme="minorEastAsia" w:eastAsiaTheme="minorEastAsia"/>
          <w:b/>
          <w:color w:val="FF0000"/>
          <w:sz w:val="24"/>
          <w:szCs w:val="24"/>
        </w:rPr>
      </w:pPr>
      <w:r>
        <w:rPr>
          <w:rFonts w:hint="eastAsia" w:cs="宋体" w:asciiTheme="minorEastAsia" w:hAnsiTheme="minorEastAsia" w:eastAsiaTheme="minorEastAsia"/>
          <w:b/>
          <w:color w:val="000000"/>
          <w:sz w:val="24"/>
          <w:szCs w:val="24"/>
        </w:rPr>
        <w:t>六、产品质量保证</w:t>
      </w:r>
      <w:bookmarkEnd w:id="11"/>
      <w:bookmarkEnd w:id="12"/>
      <w:bookmarkEnd w:id="13"/>
    </w:p>
    <w:p>
      <w:pPr>
        <w:snapToGrid w:val="0"/>
        <w:spacing w:line="600" w:lineRule="exact"/>
        <w:ind w:firstLine="480" w:firstLineChars="200"/>
        <w:rPr>
          <w:rFonts w:cs="宋体" w:asciiTheme="minorEastAsia" w:hAnsiTheme="minorEastAsia" w:eastAsiaTheme="minorEastAsia"/>
          <w:color w:val="000000"/>
          <w:sz w:val="24"/>
          <w:szCs w:val="24"/>
        </w:rPr>
      </w:pPr>
      <w:bookmarkStart w:id="14" w:name="_Toc340223147"/>
      <w:bookmarkStart w:id="15" w:name="_Toc267320051"/>
      <w:r>
        <w:rPr>
          <w:rFonts w:hint="eastAsia" w:cs="宋体" w:asciiTheme="minorEastAsia" w:hAnsiTheme="minorEastAsia" w:eastAsiaTheme="minorEastAsia"/>
          <w:color w:val="000000"/>
          <w:sz w:val="24"/>
          <w:szCs w:val="24"/>
        </w:rPr>
        <w:t>1.依据产品质量监督检验所提供的质量标准，投标人提供的产品必须是经过质量监督管理部门检验并取得合格证明的产品，每批次产品提供时应交存货物质量合格证明、产品质量检测合格报告或检疫报告复印件。</w:t>
      </w:r>
    </w:p>
    <w:p>
      <w:pPr>
        <w:snapToGrid w:val="0"/>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2.投标人应保证及时提供数量准确、合格安全的产品。一旦发现伪劣假冒产品、以次充好产品或替代产品，</w:t>
      </w:r>
      <w:r>
        <w:rPr>
          <w:rFonts w:hint="eastAsia" w:cs="宋体" w:asciiTheme="minorEastAsia" w:hAnsiTheme="minorEastAsia" w:eastAsiaTheme="minorEastAsia"/>
          <w:sz w:val="24"/>
          <w:szCs w:val="24"/>
        </w:rPr>
        <w:t>招标方立即封存报经市</w:t>
      </w:r>
      <w:r>
        <w:rPr>
          <w:rFonts w:hint="eastAsia" w:cs="宋体" w:asciiTheme="minorEastAsia" w:hAnsiTheme="minorEastAsia" w:eastAsiaTheme="minorEastAsia"/>
          <w:color w:val="000000"/>
          <w:sz w:val="24"/>
          <w:szCs w:val="24"/>
        </w:rPr>
        <w:t>场监管、卫生健康、财政等相关部门依照招标文件、采购合同及相关的法律法规进行质量监测认证后，由投标人承担一切民事赔偿、行政处罚和刑事责任，甲方有权单方解除合同并要求供方赔偿所造成的所有损失，不退还履约保证金</w:t>
      </w:r>
      <w:r>
        <w:rPr>
          <w:rFonts w:hint="eastAsia" w:cs="宋体" w:asciiTheme="minorEastAsia" w:hAnsiTheme="minorEastAsia" w:eastAsiaTheme="minorEastAsia"/>
          <w:color w:val="auto"/>
          <w:sz w:val="24"/>
          <w:szCs w:val="24"/>
        </w:rPr>
        <w:t>，同时列入</w:t>
      </w:r>
      <w:r>
        <w:rPr>
          <w:rFonts w:hint="eastAsia" w:cs="宋体" w:asciiTheme="minorEastAsia" w:hAnsiTheme="minorEastAsia" w:eastAsiaTheme="minorEastAsia"/>
          <w:color w:val="auto"/>
          <w:sz w:val="24"/>
          <w:szCs w:val="24"/>
          <w:lang w:eastAsia="zh-CN"/>
        </w:rPr>
        <w:t>重庆莘莘餐饮管理有限公司采购</w:t>
      </w:r>
      <w:r>
        <w:rPr>
          <w:rFonts w:hint="eastAsia" w:cs="宋体" w:asciiTheme="minorEastAsia" w:hAnsiTheme="minorEastAsia" w:eastAsiaTheme="minorEastAsia"/>
          <w:color w:val="auto"/>
          <w:sz w:val="24"/>
          <w:szCs w:val="24"/>
        </w:rPr>
        <w:t>黑名单，</w:t>
      </w:r>
      <w:r>
        <w:rPr>
          <w:rFonts w:hint="eastAsia" w:cs="宋体" w:asciiTheme="minorEastAsia" w:hAnsiTheme="minorEastAsia" w:eastAsiaTheme="minorEastAsia"/>
          <w:color w:val="000000"/>
          <w:sz w:val="24"/>
          <w:szCs w:val="24"/>
        </w:rPr>
        <w:t>若造成刑事责任，移送司法机关处理。</w:t>
      </w:r>
    </w:p>
    <w:p>
      <w:pPr>
        <w:snapToGrid w:val="0"/>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 每批产品出厂前应经当地国家认可的质量检测机构进行检验，并出具检验报告，合格产品方可销售给招标人。</w:t>
      </w:r>
      <w:bookmarkEnd w:id="14"/>
      <w:bookmarkEnd w:id="15"/>
    </w:p>
    <w:p>
      <w:pPr>
        <w:spacing w:line="6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七、技术及服务质量要求</w:t>
      </w:r>
    </w:p>
    <w:p>
      <w:pPr>
        <w:spacing w:line="6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1.包装要求</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各类货物（鲜活产品及冷冻制品除外）包装应分别符合GB/T17109、GB7718、GBT17374的规定和卫生要求，有标识、有原厂密封措施；若采用包装袋，则包装袋应坚固结实，封口或者缝口应严密。粉状原材料应有防尘、防雨雪、防潮湿等保护设备和措施。外包装袋上印有品名、等级、数量、出厂名、厂家地址及联系电话，还应有检验合格证、生产日期和保质期。外包装上有相应注册商标及QS标注或SC标注，有检验合格证、生产日期和保质期，并严格按照《食品安全法》要求提供相应票据。</w:t>
      </w:r>
    </w:p>
    <w:p>
      <w:pPr>
        <w:spacing w:line="6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2.实施时间</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鲜活产品应在接到招标人采购计划后24小时内按进度完成屠宰或购买任务并按照招标人需求加工后交付招标人，保证师生食用的是24小时内屠宰的鲜活食材。</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投标人在接到采购计划后应视需求的紧急程度，及时响应，按时交付学校食堂。</w:t>
      </w:r>
    </w:p>
    <w:p>
      <w:pPr>
        <w:spacing w:line="6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3.售后要求</w:t>
      </w:r>
    </w:p>
    <w:p>
      <w:pPr>
        <w:spacing w:line="600" w:lineRule="exact"/>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color w:val="000000"/>
          <w:sz w:val="24"/>
          <w:szCs w:val="24"/>
        </w:rPr>
        <w:t>（1）</w:t>
      </w:r>
      <w:r>
        <w:rPr>
          <w:rFonts w:hint="eastAsia" w:cs="宋体" w:asciiTheme="minorEastAsia" w:hAnsiTheme="minorEastAsia" w:eastAsiaTheme="minorEastAsia"/>
          <w:sz w:val="24"/>
          <w:szCs w:val="24"/>
        </w:rPr>
        <w:t>配送服务企业应设有专门的服务电话。中标配送服务企业提供的食品食用后，出现身体不适时，中标配送服务企业接到通知后须立即做出响应，半小时内到达现场（特殊的安全问题需在</w:t>
      </w:r>
      <w:r>
        <w:rPr>
          <w:rFonts w:cs="宋体" w:asciiTheme="minorEastAsia" w:hAnsiTheme="minorEastAsia" w:eastAsiaTheme="minorEastAsia"/>
          <w:sz w:val="24"/>
          <w:szCs w:val="24"/>
        </w:rPr>
        <w:t xml:space="preserve"> 15 </w:t>
      </w:r>
      <w:r>
        <w:rPr>
          <w:rFonts w:hint="eastAsia" w:cs="宋体" w:asciiTheme="minorEastAsia" w:hAnsiTheme="minorEastAsia" w:eastAsiaTheme="minorEastAsia"/>
          <w:sz w:val="24"/>
          <w:szCs w:val="24"/>
        </w:rPr>
        <w:t>分钟内到达现场）进行处理，主动做好协调、救援、安抚、善后等工作。因产品质量等问题出现安全事故，中标配送服务企业应立即到现场处理，情节严重的，采购方有权终止合同，且履约保证金不退还，所造成的一切经济损失和法律责任由中标配送服务企业自行承担。</w:t>
      </w:r>
    </w:p>
    <w:p>
      <w:pPr>
        <w:spacing w:line="600" w:lineRule="exact"/>
        <w:ind w:firstLine="240" w:firstLineChars="1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（2）投标人必须按照使用单位人员通知的时间（自然界原因造成的人力不可抗拒因素除外）、数量、品种、品质要求准时送货到约定地点，经验收合格后当面签字确认。</w:t>
      </w:r>
    </w:p>
    <w:p>
      <w:pPr>
        <w:spacing w:line="600" w:lineRule="exact"/>
        <w:ind w:firstLine="240" w:firstLineChars="1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w:t>
      </w:r>
      <w:r>
        <w:rPr>
          <w:rFonts w:hint="eastAsia" w:cs="宋体" w:asciiTheme="minorEastAsia" w:hAnsiTheme="minorEastAsia" w:eastAsiaTheme="minorEastAsia"/>
          <w:sz w:val="24"/>
          <w:szCs w:val="24"/>
        </w:rPr>
        <w:t>若招标人对货品质量提出异</w:t>
      </w:r>
      <w:r>
        <w:rPr>
          <w:rFonts w:hint="eastAsia" w:cs="宋体" w:asciiTheme="minorEastAsia" w:hAnsiTheme="minorEastAsia" w:eastAsiaTheme="minorEastAsia"/>
          <w:color w:val="000000"/>
          <w:sz w:val="24"/>
          <w:szCs w:val="24"/>
        </w:rPr>
        <w:t>议，成交人应保证在30分钟以内作出答复，并妥善商处。</w:t>
      </w:r>
    </w:p>
    <w:p>
      <w:pPr>
        <w:spacing w:line="6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4.质量要求：</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成交服务企业必须提供由原公司（厂）生产的全新产品，符合国家相关规定的质量标准、环保标准、技术参数和规格要求（详见附表），不得出售假冒伪劣产品。同时不低于以下标准：</w:t>
      </w:r>
    </w:p>
    <w:p>
      <w:pPr>
        <w:widowControl w:val="0"/>
        <w:numPr>
          <w:ilvl w:val="0"/>
          <w:numId w:val="3"/>
        </w:num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所有原材料必须符合对应行业标准，且提供相应的单品检验报告。</w:t>
      </w:r>
    </w:p>
    <w:p>
      <w:pPr>
        <w:widowControl w:val="0"/>
        <w:numPr>
          <w:ilvl w:val="0"/>
          <w:numId w:val="3"/>
        </w:num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大米应执行GB/T1354-2018.标准要求，同时一级大米应达到目前市场上流通的精米标准。</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（3）面粉符合《小麦粉》（GB1355-2005）相关要求，同时应当达到目前市场上流通的超级高筋特精面粉标准。随货附有同批次产品出厂检验合格报告或合格证明文件。</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（4）食用油（主要为菜籽油和大豆油）必须符合《食品安全国家标准 植物油》GB 2716-2018、GB/T1536相关要求，应根据供餐规模选择适宜规格的预包装食用油，严禁使用散装食用油，应选用物理压榨加工工艺生产的食用油。随货附有同批次产品出厂检验合格报告或合格证明文件。</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5）猪肉必须为生猪定点屠宰企业提供的具有“动物产品检疫合格证明验证章”的新鲜肉，同时应符合NY/T1759-2009猪肉、GB9959.2-2008《分割鲜、冻猪瘦肉》、GB2707-2005《鲜(冻)畜肉卫生标准》等规格的规定.猪肉一般由生产（供应）商根据学校需要进行加工后供选用，且送货时提供相关职能部门开具的当天当批次检疫票据。</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（6）冷冻制品（含鸡、鸭、鱼等）：须有生产日期、保质期、包装完好、无异味、无杂质、产品执行标准；符合食品卫生安全要求和国家相关标准。</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（7）蔬菜须提供农残检验报告。</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（8）杂支、低值易耗品，如豆浆杯等应保证标示齐全，有生产厂家、生产日期、保质期、国家指定检验标示。如餐用具应在感官（视觉、嗅觉、触觉）上无疑问。洗涤剂必须提供检验报告备查。</w:t>
      </w:r>
    </w:p>
    <w:p>
      <w:pPr>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（9）所供应产品（鲜活肉类、蔬菜除外）不得超过或临近保质日期。</w:t>
      </w:r>
    </w:p>
    <w:p>
      <w:pPr>
        <w:spacing w:line="600" w:lineRule="exact"/>
        <w:ind w:left="480"/>
        <w:rPr>
          <w:rFonts w:cs="宋体" w:asciiTheme="minorEastAsia" w:hAnsiTheme="minorEastAsia" w:eastAsiaTheme="minorEastAsia"/>
          <w:b/>
          <w:color w:val="000000"/>
          <w:sz w:val="24"/>
          <w:szCs w:val="24"/>
        </w:rPr>
      </w:pPr>
      <w:r>
        <w:rPr>
          <w:rFonts w:hint="eastAsia" w:cs="宋体" w:asciiTheme="minorEastAsia" w:hAnsiTheme="minorEastAsia" w:eastAsiaTheme="minorEastAsia"/>
          <w:b/>
          <w:color w:val="000000"/>
          <w:sz w:val="24"/>
          <w:szCs w:val="24"/>
        </w:rPr>
        <w:t>八、采购标准：</w:t>
      </w:r>
    </w:p>
    <w:p>
      <w:pPr>
        <w:spacing w:line="600" w:lineRule="exact"/>
        <w:ind w:left="480" w:leftChars="240" w:firstLine="118" w:firstLineChars="49"/>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所有原材料必须符合《中华人民共和国食品安全法》的要求</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（一）主食类采购标准</w:t>
      </w:r>
    </w:p>
    <w:p>
      <w:pPr>
        <w:spacing w:line="600" w:lineRule="exact"/>
        <w:ind w:firstLine="6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主食类主要是指粮食类（谷类），有大米、面粉、饺子、汤圆等，该类材料主要为袋装，首先应保证标示有生产厂家、生产日期、保质期，且商品在保质期内，质保期不低于</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个月，按批次提供检验报告，并根据购货品种分类进行采购。</w:t>
      </w:r>
    </w:p>
    <w:p>
      <w:pPr>
        <w:spacing w:line="600" w:lineRule="exact"/>
        <w:ind w:firstLine="600"/>
        <w:rPr>
          <w:rFonts w:asciiTheme="minorEastAsia" w:hAnsiTheme="minorEastAsia" w:eastAsiaTheme="minorEastAsia"/>
          <w:sz w:val="24"/>
          <w:szCs w:val="24"/>
        </w:rPr>
      </w:pPr>
      <w:r>
        <w:rPr>
          <w:rFonts w:hint="eastAsia" w:asciiTheme="minorEastAsia" w:hAnsiTheme="minorEastAsia" w:eastAsiaTheme="minorEastAsia"/>
          <w:sz w:val="24"/>
          <w:szCs w:val="24"/>
        </w:rPr>
        <w:t>1.大米：呈透明、半透明或白色，有色泽，透明玉色状</w:t>
      </w:r>
      <w:r>
        <w:rPr>
          <w:rFonts w:asciiTheme="minorEastAsia" w:hAnsiTheme="minorEastAsia" w:eastAsiaTheme="minorEastAsia"/>
          <w:sz w:val="24"/>
          <w:szCs w:val="24"/>
        </w:rPr>
        <w:t>,</w:t>
      </w:r>
      <w:r>
        <w:rPr>
          <w:rFonts w:hint="eastAsia" w:asciiTheme="minorEastAsia" w:hAnsiTheme="minorEastAsia" w:eastAsiaTheme="minorEastAsia"/>
          <w:sz w:val="24"/>
          <w:szCs w:val="24"/>
        </w:rPr>
        <w:t>符合应有品种的粒形，具有新鲜米特有的香味，无异味。采购中要求米粒白净成形，无虫，无杂质，无霉块，碎米较少，黏米含量低，手触摸米无潮湿感。</w:t>
      </w:r>
    </w:p>
    <w:p>
      <w:pPr>
        <w:spacing w:line="600" w:lineRule="exact"/>
        <w:ind w:firstLine="600"/>
        <w:rPr>
          <w:rFonts w:asciiTheme="minorEastAsia" w:hAnsiTheme="minorEastAsia" w:eastAsiaTheme="minorEastAsia"/>
          <w:sz w:val="24"/>
          <w:szCs w:val="24"/>
        </w:rPr>
      </w:pPr>
      <w:r>
        <w:rPr>
          <w:rFonts w:hint="eastAsia" w:asciiTheme="minorEastAsia" w:hAnsiTheme="minorEastAsia" w:eastAsiaTheme="minorEastAsia"/>
          <w:sz w:val="24"/>
          <w:szCs w:val="24"/>
        </w:rPr>
        <w:t>2.面粉：淡黄色或乳白色，具有一定的清香味，手感细腻，粗细均匀，无潮湿感，干燥松散无结块，无异味，无杂质。</w:t>
      </w:r>
    </w:p>
    <w:p>
      <w:pPr>
        <w:spacing w:line="600" w:lineRule="exact"/>
        <w:ind w:firstLine="600"/>
        <w:rPr>
          <w:rFonts w:asciiTheme="minorEastAsia" w:hAnsiTheme="minorEastAsia" w:eastAsiaTheme="minorEastAsia"/>
          <w:sz w:val="24"/>
          <w:szCs w:val="24"/>
        </w:rPr>
      </w:pPr>
      <w:r>
        <w:rPr>
          <w:rFonts w:hint="eastAsia" w:asciiTheme="minorEastAsia" w:hAnsiTheme="minorEastAsia" w:eastAsiaTheme="minorEastAsia"/>
          <w:sz w:val="24"/>
          <w:szCs w:val="24"/>
        </w:rPr>
        <w:t>3.水面、米线、米粉、干面：色泽正常，均匀一致；气味正常，无酸味、霉味及其他异味。</w:t>
      </w:r>
    </w:p>
    <w:p>
      <w:pPr>
        <w:spacing w:line="600" w:lineRule="exact"/>
        <w:ind w:firstLine="6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4.速冻饺子、速冻汤圆：三证齐全，在保质期内，无破皮。</w:t>
      </w:r>
    </w:p>
    <w:p>
      <w:pPr>
        <w:pStyle w:val="23"/>
        <w:widowControl/>
        <w:shd w:val="clear" w:color="auto" w:fill="FFFFFF"/>
        <w:spacing w:before="150" w:after="150" w:line="600" w:lineRule="exact"/>
        <w:ind w:firstLine="424" w:firstLineChars="177"/>
        <w:rPr>
          <w:rFonts w:cs="Times New Roman" w:asciiTheme="minorEastAsia" w:hAnsiTheme="minorEastAsia" w:eastAsiaTheme="minorEastAsia"/>
        </w:rPr>
      </w:pPr>
      <w:r>
        <w:rPr>
          <w:rFonts w:hint="eastAsia" w:asciiTheme="minorEastAsia" w:hAnsiTheme="minorEastAsia" w:eastAsiaTheme="minorEastAsia"/>
        </w:rPr>
        <w:t>（二）油脂类采购标准</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油脂类主要是菜籽油（非转基因）、大豆油（非转基因），该类材料主要为桶装，首先应保证材料包装标示良好，有生产厂家、生产日期、保质期，且商品在保质期内，质保期不低于</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个月，按批次提供检验报告，并根据入货品种分类进行采购验收。</w:t>
      </w:r>
    </w:p>
    <w:p>
      <w:pPr>
        <w:widowControl w:val="0"/>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1.大豆油：外包装完整，标记有</w:t>
      </w:r>
      <w:r>
        <w:rPr>
          <w:rFonts w:cs="宋体" w:asciiTheme="minorEastAsia" w:hAnsiTheme="minorEastAsia" w:eastAsiaTheme="minorEastAsia"/>
          <w:sz w:val="24"/>
          <w:szCs w:val="24"/>
        </w:rPr>
        <w:t xml:space="preserve">GB 2716 </w:t>
      </w:r>
      <w:r>
        <w:rPr>
          <w:rFonts w:hint="eastAsia" w:cs="宋体" w:asciiTheme="minorEastAsia" w:hAnsiTheme="minorEastAsia" w:eastAsiaTheme="minorEastAsia"/>
          <w:sz w:val="24"/>
          <w:szCs w:val="24"/>
        </w:rPr>
        <w:t>食用植物油</w:t>
      </w:r>
      <w:r>
        <w:fldChar w:fldCharType="begin"/>
      </w:r>
      <w:r>
        <w:instrText xml:space="preserve"> HYPERLINK "https://baike.baidu.com/item/%E5%8D%AB%E7%94%9F%E6%A0%87%E5%87%86/4199255" \t "https://baike.baidu.com/item/%E8%8F%9C%E7%B1%BD%E6%B2%B9%E5%9B%BD%E5%AE%B6%E8%B4%A8%E9%87%8F%E6%A0%87%E5%87%86/_blank" </w:instrText>
      </w:r>
      <w:r>
        <w:fldChar w:fldCharType="separate"/>
      </w:r>
      <w:r>
        <w:rPr>
          <w:rFonts w:hint="eastAsia" w:cs="宋体" w:asciiTheme="minorEastAsia" w:hAnsiTheme="minorEastAsia" w:eastAsiaTheme="minorEastAsia"/>
          <w:sz w:val="24"/>
          <w:szCs w:val="24"/>
        </w:rPr>
        <w:t>卫生标准</w:t>
      </w:r>
      <w:r>
        <w:rPr>
          <w:rFonts w:hint="eastAsia"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GB7718</w:t>
      </w:r>
      <w:r>
        <w:rPr>
          <w:rFonts w:hint="eastAsia" w:cs="宋体" w:asciiTheme="minorEastAsia" w:hAnsiTheme="minorEastAsia" w:eastAsiaTheme="minorEastAsia"/>
          <w:sz w:val="24"/>
          <w:szCs w:val="24"/>
        </w:rPr>
        <w:t>食品标签通用标准等，三证齐全，在质保期</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个月以内，液体具有油脂正常颜色，澄清透明，无焦臭味、酸败及其他异味，清晰透明、不混浊、无沉淀、无悬浮物。</w:t>
      </w:r>
    </w:p>
    <w:p>
      <w:pPr>
        <w:widowControl w:val="0"/>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2.菜籽油：外包装完整，标记有</w:t>
      </w:r>
      <w:r>
        <w:rPr>
          <w:rFonts w:cs="宋体" w:asciiTheme="minorEastAsia" w:hAnsiTheme="minorEastAsia" w:eastAsiaTheme="minorEastAsia"/>
          <w:sz w:val="24"/>
          <w:szCs w:val="24"/>
        </w:rPr>
        <w:t xml:space="preserve">GB 2716 </w:t>
      </w:r>
      <w:r>
        <w:rPr>
          <w:rFonts w:hint="eastAsia" w:cs="宋体" w:asciiTheme="minorEastAsia" w:hAnsiTheme="minorEastAsia" w:eastAsiaTheme="minorEastAsia"/>
          <w:sz w:val="24"/>
          <w:szCs w:val="24"/>
        </w:rPr>
        <w:t>食用植物油</w:t>
      </w:r>
      <w:r>
        <w:fldChar w:fldCharType="begin"/>
      </w:r>
      <w:r>
        <w:instrText xml:space="preserve"> HYPERLINK "https://baike.baidu.com/item/%E5%8D%AB%E7%94%9F%E6%A0%87%E5%87%86/4199255" \t "https://baike.baidu.com/item/%E8%8F%9C%E7%B1%BD%E6%B2%B9%E5%9B%BD%E5%AE%B6%E8%B4%A8%E9%87%8F%E6%A0%87%E5%87%86/_blank" </w:instrText>
      </w:r>
      <w:r>
        <w:fldChar w:fldCharType="separate"/>
      </w:r>
      <w:r>
        <w:rPr>
          <w:rFonts w:hint="eastAsia" w:cs="宋体" w:asciiTheme="minorEastAsia" w:hAnsiTheme="minorEastAsia" w:eastAsiaTheme="minorEastAsia"/>
          <w:sz w:val="24"/>
          <w:szCs w:val="24"/>
        </w:rPr>
        <w:t>卫生标准</w:t>
      </w:r>
      <w:r>
        <w:rPr>
          <w:rFonts w:hint="eastAsia"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GB7718</w:t>
      </w:r>
      <w:r>
        <w:rPr>
          <w:rFonts w:hint="eastAsia" w:cs="宋体" w:asciiTheme="minorEastAsia" w:hAnsiTheme="minorEastAsia" w:eastAsiaTheme="minorEastAsia"/>
          <w:sz w:val="24"/>
          <w:szCs w:val="24"/>
        </w:rPr>
        <w:t>食品标签通用标准等，三证齐全，在质保期</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个月以内，液体具有油脂正常颜色，澄清透明，无焦臭味、酸败及其他异味，清晰透明、不混浊、无沉淀、无悬浮物。</w:t>
      </w:r>
    </w:p>
    <w:p>
      <w:pPr>
        <w:widowControl w:val="0"/>
        <w:spacing w:line="600" w:lineRule="exact"/>
        <w:ind w:firstLine="360" w:firstLineChars="15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（三）蔬菜类采购标准</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蔬菜应有相应的农残检验报告，常用蔬菜质量标准如下：</w:t>
      </w:r>
    </w:p>
    <w:p>
      <w:pPr>
        <w:spacing w:line="6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 xml:space="preserve">1.蔬菜质量标准： </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1.1合格的质量，蔬菜无病虫害，生理病害及污染，可通过视觉判断；</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1.2外观质量，指颜色、大小、形状、外表、整齐度等，可通过视觉和触觉进行判断；</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1.3口感质量，新鲜度、成熟度、多汁度、酸甜度、软硬度等，可通过视觉、味觉、触觉来进行判断；</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1.4洁净度，货物清洁程度。</w:t>
      </w:r>
    </w:p>
    <w:p>
      <w:pPr>
        <w:spacing w:line="600" w:lineRule="exact"/>
        <w:ind w:firstLine="46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2.蔬菜（毛菜）采购标准：</w:t>
      </w:r>
    </w:p>
    <w:p>
      <w:pPr>
        <w:spacing w:line="600" w:lineRule="exact"/>
        <w:ind w:firstLine="46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2.1根茎类，无虫咬、发芽、发霉现象（如土豆）；</w:t>
      </w:r>
    </w:p>
    <w:p>
      <w:pPr>
        <w:spacing w:line="600" w:lineRule="exact"/>
        <w:ind w:firstLine="465"/>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2.2叶菜类，无明显浸水，根、茎、叶新鲜，包叶菜外层清洁；</w:t>
      </w:r>
    </w:p>
    <w:p>
      <w:pPr>
        <w:spacing w:line="600" w:lineRule="exact"/>
        <w:ind w:firstLine="465"/>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2.3花果类，成熟度与工程度良好（如西蓝花、花菜长短）。</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3.蔬菜（净菜）采购标准，净菜应具有新鲜蔬菜原有的特性。成熟度适中，新鲜脆嫩，色泽良好，形态正常，个体均匀，外观清洁，无腐烂、无霉变、无异味，无影响食用的病虫害状态及机械伤。</w:t>
      </w:r>
    </w:p>
    <w:p>
      <w:pPr>
        <w:spacing w:line="600" w:lineRule="exact"/>
        <w:ind w:firstLine="42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（四）荤食类采购标准</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荤食类主要包括鲜活产品、速冻产品，鲜活主要为猪肉、牛肉、鲜禽畜等，鲜活产品应在国家指定屠宰场屠宰、有检疫证且检疫时间为送货当天，并有国家检疫机关相应标记；速冻产品包括有冻虾、冻鸡等，除检疫票据，应有生产厂家，保质期，生产日期，按批次提供检验报告等。</w:t>
      </w:r>
    </w:p>
    <w:p>
      <w:pPr>
        <w:spacing w:line="600" w:lineRule="exact"/>
        <w:ind w:firstLine="42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食堂所使用的速冻产品大多为整件包装，速冻产品应保证包装标示良好，有生产厂家、生产日期、保质期、国家指定检验标示等，且商品在保质期内，质保期不低于</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个月，采购中必须查验外包装相应标示，内包装是否破损，漏气等。</w:t>
      </w:r>
    </w:p>
    <w:p>
      <w:pPr>
        <w:spacing w:line="600" w:lineRule="exact"/>
        <w:ind w:firstLine="360" w:firstLineChars="15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（五）副食采购标准</w:t>
      </w:r>
    </w:p>
    <w:p>
      <w:pPr>
        <w:spacing w:line="600" w:lineRule="exact"/>
        <w:ind w:firstLine="42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副食包括有较多单品，主要有调辅料、奶制品等，该大类物品有整件包装、散装等不同包装，针对不同属性的单品、包装进行了如下分类采购要求。</w:t>
      </w:r>
    </w:p>
    <w:p>
      <w:pPr>
        <w:spacing w:line="600" w:lineRule="exact"/>
        <w:ind w:firstLine="42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1.奶制品：主要为瓶装酸牛奶、盒装酸牛奶、袋装酸牛奶，该类产品应保证包装标示良好，有生产厂家、生产日期、保质期、国家指定检验标示等，且商品在保质期内。</w:t>
      </w:r>
    </w:p>
    <w:p>
      <w:pPr>
        <w:spacing w:line="600" w:lineRule="exact"/>
        <w:ind w:firstLine="42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2.如盐，味精，鸡精、醋，酱油，老抽、生抽，芽菜，榨菜，红肠，豆腐乳等，主要为整件包装或瓶装，该类产品应保证材料包装标示良好，有生产厂家、生产日期、保质期、国家指定检验标示等，且商品在保质期内，并有当前批次检验报告。采购中必须查验外包装有相应标示，内包装是否破损，漏气，是否有杂质、结块等。</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豆类、米类：如大豆，红豆，黄豆，黑米，八宝米等，应保证包装标示良好，有生产厂家、生产日期、保质期、国家指定检验标示等，有每批次检验报告，采购时外包装应有相应标示，且干净，透明，无杂质，无包装破损，无结块。</w:t>
      </w:r>
    </w:p>
    <w:p>
      <w:pPr>
        <w:spacing w:line="600" w:lineRule="exact"/>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八、服务承诺</w:t>
      </w:r>
    </w:p>
    <w:p>
      <w:pPr>
        <w:spacing w:line="600" w:lineRule="exact"/>
        <w:ind w:firstLine="480"/>
        <w:jc w:val="both"/>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配送服务企业应设有专门的服务电话。中标配送服务企业提供的食品食用后，出现身体不适时，中标配送服务企业接到通知后须立即做出响应，半小时内到达现场（特殊的安全问题需在</w:t>
      </w:r>
      <w:r>
        <w:rPr>
          <w:rFonts w:cs="宋体" w:asciiTheme="minorEastAsia" w:hAnsiTheme="minorEastAsia" w:eastAsiaTheme="minorEastAsia"/>
          <w:sz w:val="24"/>
          <w:szCs w:val="24"/>
        </w:rPr>
        <w:t xml:space="preserve"> 15 </w:t>
      </w:r>
      <w:r>
        <w:rPr>
          <w:rFonts w:hint="eastAsia" w:cs="宋体" w:asciiTheme="minorEastAsia" w:hAnsiTheme="minorEastAsia" w:eastAsiaTheme="minorEastAsia"/>
          <w:sz w:val="24"/>
          <w:szCs w:val="24"/>
        </w:rPr>
        <w:t>分钟内到达现场）进行处理，主动做好协调、救援、安抚、善后等工作。因产品质量等问题出现安全事故，中标配送服务企业应立即到现场处理，情节严重的，采购方有权终止合同，且履约保证金不退还，所造成的一切经济损失和法律责任由中标配送服务企业自行承担。</w:t>
      </w:r>
    </w:p>
    <w:p>
      <w:pPr>
        <w:spacing w:line="600" w:lineRule="exact"/>
        <w:ind w:firstLine="480"/>
        <w:jc w:val="both"/>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中标配送服务企业应保证食品完好无损地到达使用者所在地，须无条件更换生产、配送、搬运过程中变质、不清洁、不卫生的产品。若发现不合格产品，采购方有权终止合同，且履约保证金不予退还，带来的一切责任和影响由中标配送服务企业全部负责。运输过程中出现的安全责任事故由中标配送服务企业自行承担。</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中标后提供中标产品质量、安全责任保险。</w:t>
      </w:r>
    </w:p>
    <w:p>
      <w:pPr>
        <w:spacing w:line="600" w:lineRule="exact"/>
        <w:ind w:firstLine="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在供货期间，中标配送服务企业必须保障货源充足，如果出现断货现象，须做出书面说明，若非不可抗力因素，连续断货达</w:t>
      </w:r>
      <w:r>
        <w:rPr>
          <w:rFonts w:cs="宋体" w:asciiTheme="minorEastAsia" w:hAnsiTheme="minorEastAsia" w:eastAsiaTheme="minorEastAsia"/>
          <w:sz w:val="24"/>
          <w:szCs w:val="24"/>
        </w:rPr>
        <w:t xml:space="preserve"> 2 </w:t>
      </w:r>
      <w:r>
        <w:rPr>
          <w:rFonts w:hint="eastAsia" w:cs="宋体" w:asciiTheme="minorEastAsia" w:hAnsiTheme="minorEastAsia" w:eastAsiaTheme="minorEastAsia"/>
          <w:sz w:val="24"/>
          <w:szCs w:val="24"/>
        </w:rPr>
        <w:t>天及以上的，采购方有权终止合同，且履约保证金不予退还，造成的一切后果和损失都由中标配送服务企业负责。</w:t>
      </w:r>
    </w:p>
    <w:p>
      <w:pPr>
        <w:spacing w:line="600" w:lineRule="exact"/>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九、其它要求</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在当前食品安全严峻形势下，饮食服务中心特别注重食品质量和安全，为确保招出能保障食品质量和食品安全的有实力讲信誉的供货商家（公司），中标公司严禁转卖项目，所有货款只转与中标配送服务企业，不得委托转与任何个人或其他公司。一旦发现非中标配送服务企业送货，立即终止合同，并追究相应责任。</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供货企业具有符合要求的仓储、运输、配送能力、管理能力、经验、信誉等，能满足本采购项目的供货和服务。</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各配送服务企业报价前应充分考虑市场价格波动因素，提高自身抗风险能力。</w:t>
      </w:r>
    </w:p>
    <w:p>
      <w:pPr>
        <w:spacing w:line="600" w:lineRule="exact"/>
        <w:ind w:firstLine="480" w:firstLineChars="200"/>
        <w:rPr>
          <w:rFonts w:hint="eastAsia" w:cs="Times New Roman" w:asciiTheme="minorEastAsia" w:hAnsiTheme="minorEastAsia" w:eastAsiaTheme="minorEastAsia"/>
          <w:color w:val="FF0000"/>
          <w:sz w:val="24"/>
          <w:szCs w:val="24"/>
          <w:lang w:eastAsia="zh-CN"/>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服务期限：</w:t>
      </w:r>
      <w:r>
        <w:rPr>
          <w:rFonts w:hint="eastAsia" w:cs="宋体" w:asciiTheme="minorEastAsia" w:hAnsiTheme="minorEastAsia" w:eastAsiaTheme="minorEastAsia"/>
          <w:color w:val="auto"/>
          <w:sz w:val="24"/>
          <w:szCs w:val="24"/>
          <w:lang w:eastAsia="zh-CN"/>
        </w:rPr>
        <w:t>壹年</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付款方式：</w:t>
      </w:r>
    </w:p>
    <w:p>
      <w:pPr>
        <w:spacing w:line="600" w:lineRule="exact"/>
        <w:ind w:firstLine="480" w:firstLineChars="200"/>
        <w:rPr>
          <w:rFonts w:ascii="宋体" w:cs="Times New Roman"/>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w:t>
      </w:r>
      <w:r>
        <w:rPr>
          <w:rFonts w:hint="eastAsia" w:ascii="宋体" w:hAnsi="宋体" w:cs="宋体"/>
          <w:sz w:val="24"/>
          <w:szCs w:val="24"/>
        </w:rPr>
        <w:t>每月结算一次，如第三章采购项目技术及商务要求没有的项目则由配送服务企业和招标人商定后进行结算，由招标人转入配送服务企业账户，不得使用现金结算，为完善相关财务手续，当月货款次月月底支付。</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）乙方（中标配送服务企业）须向甲方（招标人）出具合法有效完整的完税发票及凭证资料经双方核算后进行支付结算。</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产品抽检：采购单位可对供货商配送产品进行抽检。若发现不合格产品可终止合同并保留进一步追究责任的权利。</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6.招标工作完成后，</w:t>
      </w:r>
      <w:r>
        <w:rPr>
          <w:rFonts w:hint="eastAsia" w:cs="宋体" w:asciiTheme="minorEastAsia" w:hAnsiTheme="minorEastAsia" w:eastAsiaTheme="minorEastAsia"/>
          <w:sz w:val="24"/>
          <w:szCs w:val="24"/>
          <w:lang w:eastAsia="zh-CN"/>
        </w:rPr>
        <w:t>重庆商务职业学院</w:t>
      </w:r>
      <w:r>
        <w:rPr>
          <w:rFonts w:hint="eastAsia" w:cs="宋体" w:asciiTheme="minorEastAsia" w:hAnsiTheme="minorEastAsia" w:eastAsiaTheme="minorEastAsia"/>
          <w:sz w:val="24"/>
          <w:szCs w:val="24"/>
        </w:rPr>
        <w:t>代表招标人实施本项目的管理。</w:t>
      </w:r>
    </w:p>
    <w:p>
      <w:pPr>
        <w:spacing w:line="600" w:lineRule="exact"/>
        <w:ind w:firstLine="480" w:firstLineChars="200"/>
        <w:rPr>
          <w:rFonts w:cs="宋体" w:asciiTheme="minorEastAsia" w:hAnsiTheme="minorEastAsia" w:eastAsiaTheme="minorEastAsia"/>
          <w:sz w:val="24"/>
          <w:szCs w:val="24"/>
        </w:rPr>
      </w:pPr>
    </w:p>
    <w:p>
      <w:pPr>
        <w:spacing w:line="360" w:lineRule="auto"/>
        <w:ind w:firstLine="480" w:firstLineChars="200"/>
        <w:rPr>
          <w:rFonts w:ascii="宋体" w:hAnsi="宋体" w:cs="宋体"/>
          <w:sz w:val="24"/>
          <w:szCs w:val="24"/>
        </w:rPr>
      </w:pPr>
    </w:p>
    <w:p>
      <w:pPr>
        <w:spacing w:line="360" w:lineRule="auto"/>
        <w:ind w:firstLine="480" w:firstLineChars="200"/>
        <w:rPr>
          <w:rFonts w:ascii="宋体" w:hAnsi="宋体" w:cs="宋体"/>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jc w:val="center"/>
        <w:rPr>
          <w:rFonts w:ascii="宋体" w:hAnsi="宋体" w:cs="宋体"/>
          <w:b/>
          <w:bCs/>
          <w:sz w:val="24"/>
          <w:szCs w:val="24"/>
        </w:rPr>
      </w:pPr>
      <w:r>
        <w:rPr>
          <w:rFonts w:hint="eastAsia" w:ascii="宋体" w:hAnsi="宋体" w:cs="宋体"/>
          <w:b/>
          <w:bCs/>
          <w:sz w:val="24"/>
          <w:szCs w:val="24"/>
        </w:rPr>
        <w:t>第四章  评标程序及方法、评审标准、无效响应和采购终止</w:t>
      </w:r>
    </w:p>
    <w:p>
      <w:pPr>
        <w:spacing w:line="600" w:lineRule="exact"/>
        <w:jc w:val="center"/>
        <w:rPr>
          <w:rFonts w:ascii="宋体" w:hAnsi="宋体" w:cs="宋体"/>
          <w:b/>
          <w:bCs/>
          <w:sz w:val="24"/>
          <w:szCs w:val="24"/>
        </w:rPr>
      </w:pPr>
    </w:p>
    <w:p>
      <w:pPr>
        <w:spacing w:line="600" w:lineRule="exact"/>
        <w:ind w:firstLine="354" w:firstLineChars="147"/>
        <w:rPr>
          <w:rFonts w:ascii="宋体" w:cs="Times New Roman"/>
          <w:b/>
          <w:bCs/>
          <w:sz w:val="24"/>
          <w:szCs w:val="24"/>
        </w:rPr>
      </w:pPr>
      <w:r>
        <w:rPr>
          <w:rFonts w:hint="eastAsia" w:ascii="宋体" w:hAnsi="宋体" w:cs="宋体"/>
          <w:b/>
          <w:bCs/>
          <w:sz w:val="24"/>
          <w:szCs w:val="24"/>
        </w:rPr>
        <w:t>一、配送服务企业签到：</w:t>
      </w:r>
    </w:p>
    <w:p>
      <w:pPr>
        <w:spacing w:line="600" w:lineRule="exact"/>
        <w:ind w:firstLine="499" w:firstLineChars="208"/>
        <w:rPr>
          <w:rFonts w:ascii="宋体" w:cs="Times New Roman"/>
          <w:sz w:val="24"/>
          <w:szCs w:val="24"/>
        </w:rPr>
      </w:pPr>
      <w:r>
        <w:rPr>
          <w:rFonts w:hint="eastAsia" w:ascii="宋体" w:hAnsi="宋体" w:cs="宋体"/>
          <w:sz w:val="24"/>
          <w:szCs w:val="24"/>
        </w:rPr>
        <w:t>1.招标人在招标文件规定的时间和地点组织招标，招标人、配送服务企业须派代表参加</w:t>
      </w:r>
    </w:p>
    <w:p>
      <w:pPr>
        <w:spacing w:line="600" w:lineRule="exact"/>
        <w:rPr>
          <w:rFonts w:ascii="宋体" w:cs="Times New Roman"/>
          <w:sz w:val="24"/>
          <w:szCs w:val="24"/>
        </w:rPr>
      </w:pPr>
      <w:r>
        <w:rPr>
          <w:rFonts w:hint="eastAsia" w:ascii="宋体" w:hAnsi="宋体" w:cs="宋体"/>
          <w:sz w:val="24"/>
          <w:szCs w:val="24"/>
        </w:rPr>
        <w:t>并签到以证明其出席。</w:t>
      </w:r>
    </w:p>
    <w:p>
      <w:pPr>
        <w:spacing w:line="600" w:lineRule="exact"/>
        <w:ind w:firstLine="499" w:firstLineChars="208"/>
        <w:rPr>
          <w:rFonts w:ascii="宋体" w:cs="Times New Roman"/>
          <w:sz w:val="24"/>
          <w:szCs w:val="24"/>
        </w:rPr>
      </w:pPr>
      <w:r>
        <w:rPr>
          <w:rFonts w:hint="eastAsia" w:ascii="宋体" w:hAnsi="宋体" w:cs="宋体"/>
          <w:sz w:val="24"/>
          <w:szCs w:val="24"/>
        </w:rPr>
        <w:t>2.招标时，招标人可以邀请有关监督管理部门对招标进行现场监督，也可以请招标人的上级主管机关或招标人派代表对整个采购程序进行现场监督。</w:t>
      </w:r>
    </w:p>
    <w:p>
      <w:pPr>
        <w:spacing w:line="600" w:lineRule="exact"/>
        <w:ind w:left="480"/>
        <w:rPr>
          <w:rFonts w:ascii="宋体" w:cs="Times New Roman"/>
          <w:sz w:val="24"/>
          <w:szCs w:val="24"/>
        </w:rPr>
      </w:pPr>
      <w:r>
        <w:rPr>
          <w:rFonts w:hint="eastAsia" w:ascii="宋体" w:hAnsi="宋体" w:cs="宋体"/>
          <w:sz w:val="24"/>
          <w:szCs w:val="24"/>
        </w:rPr>
        <w:t>3.招标前，招标人请各配送服务企业代表对响应文件的密封情况进行相互检查。</w:t>
      </w:r>
    </w:p>
    <w:p>
      <w:pPr>
        <w:spacing w:line="600" w:lineRule="exact"/>
        <w:ind w:firstLine="472" w:firstLineChars="196"/>
        <w:rPr>
          <w:rFonts w:ascii="宋体" w:hAnsi="宋体" w:cs="宋体"/>
          <w:b/>
          <w:bCs/>
          <w:sz w:val="24"/>
          <w:szCs w:val="24"/>
        </w:rPr>
      </w:pPr>
      <w:r>
        <w:rPr>
          <w:rFonts w:hint="eastAsia" w:ascii="宋体" w:hAnsi="宋体" w:cs="宋体"/>
          <w:b/>
          <w:bCs/>
          <w:sz w:val="24"/>
          <w:szCs w:val="24"/>
        </w:rPr>
        <w:t>二、招标程序：</w:t>
      </w:r>
    </w:p>
    <w:p>
      <w:pPr>
        <w:spacing w:line="600" w:lineRule="exact"/>
        <w:ind w:firstLine="470" w:firstLineChars="196"/>
        <w:rPr>
          <w:rFonts w:ascii="宋体" w:hAnsi="宋体" w:cs="宋体"/>
          <w:sz w:val="24"/>
          <w:szCs w:val="24"/>
        </w:rPr>
      </w:pPr>
      <w:r>
        <w:rPr>
          <w:rFonts w:hint="eastAsia" w:ascii="宋体" w:hAnsi="宋体" w:cs="宋体"/>
          <w:sz w:val="24"/>
          <w:szCs w:val="24"/>
        </w:rPr>
        <w:t>招标会主持人按照招标文件规定的招标时间宣布招标会开始，按照规定要求主持招标会议。将按以下程序进行：</w:t>
      </w:r>
    </w:p>
    <w:p>
      <w:pPr>
        <w:spacing w:line="600" w:lineRule="exact"/>
        <w:ind w:firstLine="470" w:firstLineChars="196"/>
        <w:rPr>
          <w:rFonts w:ascii="宋体" w:hAnsi="宋体" w:cs="宋体"/>
          <w:sz w:val="24"/>
          <w:szCs w:val="24"/>
        </w:rPr>
      </w:pPr>
      <w:r>
        <w:rPr>
          <w:rFonts w:ascii="宋体" w:hAnsi="宋体" w:cs="宋体"/>
          <w:sz w:val="24"/>
          <w:szCs w:val="24"/>
        </w:rPr>
        <w:t>1.</w:t>
      </w:r>
      <w:r>
        <w:rPr>
          <w:rFonts w:hint="eastAsia" w:ascii="宋体" w:hAnsi="宋体" w:cs="宋体"/>
          <w:sz w:val="24"/>
          <w:szCs w:val="24"/>
        </w:rPr>
        <w:t>宣布招标会开始。招标时间到，主持人宣布招标会开始并致辞，当众宣布参加招标会的现场监督人员、主持人、会议记录等工作人员，根据“配送服务企业签到表”宣布参加招标的配送服务企业名单；</w:t>
      </w:r>
    </w:p>
    <w:p>
      <w:pPr>
        <w:spacing w:line="600" w:lineRule="exact"/>
        <w:ind w:firstLine="470" w:firstLineChars="196"/>
        <w:rPr>
          <w:rFonts w:ascii="宋体" w:hAnsi="宋体" w:cs="宋体"/>
          <w:sz w:val="24"/>
          <w:szCs w:val="24"/>
        </w:rPr>
      </w:pPr>
      <w:r>
        <w:rPr>
          <w:rFonts w:ascii="宋体" w:hAnsi="宋体" w:cs="宋体"/>
          <w:sz w:val="24"/>
          <w:szCs w:val="24"/>
        </w:rPr>
        <w:t>2.</w:t>
      </w:r>
      <w:r>
        <w:rPr>
          <w:rFonts w:hint="eastAsia" w:ascii="宋体" w:hAnsi="宋体" w:cs="宋体"/>
          <w:sz w:val="24"/>
          <w:szCs w:val="24"/>
        </w:rPr>
        <w:t>宣布会场纪律和有关注意事项；</w:t>
      </w:r>
      <w:bookmarkStart w:id="16" w:name="page9"/>
      <w:bookmarkEnd w:id="16"/>
    </w:p>
    <w:p>
      <w:pPr>
        <w:spacing w:line="600" w:lineRule="exact"/>
        <w:ind w:firstLine="470" w:firstLineChars="196"/>
        <w:rPr>
          <w:rFonts w:ascii="宋体" w:hAnsi="宋体" w:cs="宋体"/>
          <w:sz w:val="24"/>
          <w:szCs w:val="24"/>
        </w:rPr>
      </w:pPr>
      <w:r>
        <w:rPr>
          <w:rFonts w:ascii="宋体" w:hAnsi="宋体" w:cs="宋体"/>
          <w:sz w:val="24"/>
          <w:szCs w:val="24"/>
        </w:rPr>
        <w:t>3.</w:t>
      </w:r>
      <w:r>
        <w:rPr>
          <w:rFonts w:hint="eastAsia" w:ascii="宋体" w:hAnsi="宋体" w:cs="宋体"/>
          <w:sz w:val="24"/>
          <w:szCs w:val="24"/>
        </w:rPr>
        <w:t>监督人员当众宣布检查响应文件的密封情况；</w:t>
      </w:r>
    </w:p>
    <w:p>
      <w:pPr>
        <w:spacing w:line="600" w:lineRule="exact"/>
        <w:ind w:firstLine="470" w:firstLineChars="196"/>
        <w:rPr>
          <w:rFonts w:ascii="宋体" w:hAnsi="宋体" w:cs="宋体"/>
          <w:sz w:val="24"/>
          <w:szCs w:val="24"/>
        </w:rPr>
      </w:pPr>
      <w:r>
        <w:rPr>
          <w:rFonts w:hint="eastAsia" w:ascii="宋体" w:hAnsi="宋体" w:cs="宋体"/>
          <w:sz w:val="24"/>
          <w:szCs w:val="24"/>
        </w:rPr>
        <w:t>4.投标以抽签的形式确定投标顺序，由本项目投标小组分别与各配送服务企业进行投标。在正式投标前，对各配送服务企业的资格条件、响应文件的有效性、完整性和响应程度进行审查，各配送服务企业只有在完全符合投标要求的前提下，才能参与正式投标，审查的内容如下：</w:t>
      </w:r>
    </w:p>
    <w:p>
      <w:pPr>
        <w:spacing w:line="600" w:lineRule="exact"/>
        <w:ind w:firstLine="470" w:firstLineChars="196"/>
        <w:rPr>
          <w:rFonts w:ascii="宋体" w:hAnsi="宋体" w:cs="宋体"/>
          <w:sz w:val="24"/>
          <w:szCs w:val="24"/>
        </w:rPr>
      </w:pPr>
      <w:r>
        <w:rPr>
          <w:rFonts w:hint="eastAsia" w:cs="宋体" w:asciiTheme="minorEastAsia" w:hAnsiTheme="minorEastAsia" w:eastAsiaTheme="minorEastAsia"/>
          <w:sz w:val="24"/>
          <w:szCs w:val="24"/>
        </w:rPr>
        <w:t>（1）资格性检查。依据法律法规和竞争性投标文件的规定，对响应文件中的资格证明、保证金等进行审查，以确定配送服务企业是否具备投标资格。资格性检查资料表如下：</w:t>
      </w:r>
    </w:p>
    <w:tbl>
      <w:tblPr>
        <w:tblStyle w:val="25"/>
        <w:tblW w:w="91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425"/>
        <w:gridCol w:w="2693"/>
        <w:gridCol w:w="5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exact"/>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序号</w:t>
            </w:r>
          </w:p>
        </w:tc>
        <w:tc>
          <w:tcPr>
            <w:tcW w:w="3118" w:type="dxa"/>
            <w:gridSpan w:val="2"/>
            <w:vAlign w:val="center"/>
          </w:tcPr>
          <w:p>
            <w:pPr>
              <w:spacing w:line="240" w:lineRule="exact"/>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检查因素</w:t>
            </w:r>
          </w:p>
        </w:tc>
        <w:tc>
          <w:tcPr>
            <w:tcW w:w="5603" w:type="dxa"/>
            <w:vAlign w:val="center"/>
          </w:tcPr>
          <w:p>
            <w:pPr>
              <w:spacing w:line="240" w:lineRule="exact"/>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Merge w:val="restart"/>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c>
          <w:tcPr>
            <w:tcW w:w="425" w:type="dxa"/>
            <w:vMerge w:val="restart"/>
            <w:vAlign w:val="center"/>
          </w:tcPr>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供</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应</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商</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基</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本</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资</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格</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条</w:t>
            </w:r>
          </w:p>
          <w:p>
            <w:pPr>
              <w:spacing w:line="240" w:lineRule="exact"/>
              <w:jc w:val="center"/>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件</w:t>
            </w:r>
          </w:p>
        </w:tc>
        <w:tc>
          <w:tcPr>
            <w:tcW w:w="269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（1）具有独立承担民事责任的能力</w:t>
            </w:r>
          </w:p>
        </w:tc>
        <w:tc>
          <w:tcPr>
            <w:tcW w:w="560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配送服务企业法人营业执照（副本）或事业单位法人证书（副本）或个体工商户营业执照或有效的自然人身份证明、组织机构代码证复印件（注</w:t>
            </w:r>
            <w:r>
              <w:rPr>
                <w:rFonts w:hint="eastAsia" w:cs="宋体" w:asciiTheme="minorEastAsia" w:hAnsiTheme="minorEastAsia" w:eastAsiaTheme="minorEastAsia"/>
                <w:sz w:val="18"/>
                <w:szCs w:val="18"/>
              </w:rPr>
              <w:fldChar w:fldCharType="begin"/>
            </w:r>
            <w:r>
              <w:rPr>
                <w:rFonts w:hint="eastAsia" w:cs="宋体" w:asciiTheme="minorEastAsia" w:hAnsiTheme="minorEastAsia" w:eastAsiaTheme="minorEastAsia"/>
                <w:sz w:val="18"/>
                <w:szCs w:val="18"/>
              </w:rPr>
              <w:instrText xml:space="preserve"> eq \o\ac(○,</w:instrText>
            </w:r>
            <w:r>
              <w:rPr>
                <w:rFonts w:hint="eastAsia" w:cs="宋体" w:asciiTheme="minorEastAsia" w:hAnsiTheme="minorEastAsia" w:eastAsiaTheme="minorEastAsia"/>
                <w:position w:val="3"/>
                <w:sz w:val="18"/>
                <w:szCs w:val="18"/>
              </w:rPr>
              <w:instrText xml:space="preserve">1</w:instrText>
            </w:r>
            <w:r>
              <w:rPr>
                <w:rFonts w:hint="eastAsia" w:cs="宋体" w:asciiTheme="minorEastAsia" w:hAnsiTheme="minorEastAsia" w:eastAsiaTheme="minorEastAsia"/>
                <w:sz w:val="18"/>
                <w:szCs w:val="18"/>
              </w:rPr>
              <w:instrText xml:space="preserve">)</w:instrText>
            </w:r>
            <w:r>
              <w:rPr>
                <w:rFonts w:hint="eastAsia" w:cs="宋体" w:asciiTheme="minorEastAsia" w:hAnsiTheme="minorEastAsia" w:eastAsiaTheme="minorEastAsia"/>
                <w:sz w:val="18"/>
                <w:szCs w:val="18"/>
              </w:rPr>
              <w:fldChar w:fldCharType="end"/>
            </w:r>
            <w:r>
              <w:rPr>
                <w:rFonts w:hint="eastAsia" w:asciiTheme="minorEastAsia" w:hAnsiTheme="minorEastAsia" w:eastAsiaTheme="minorEastAsia"/>
                <w:sz w:val="18"/>
                <w:szCs w:val="18"/>
              </w:rPr>
              <w:t xml:space="preserve">）； </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配送服务企业法定代表人身份证明和法定代表人授权代表委托书。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Merge w:val="continue"/>
            <w:vAlign w:val="center"/>
          </w:tcPr>
          <w:p>
            <w:pPr>
              <w:spacing w:line="240" w:lineRule="exact"/>
              <w:jc w:val="center"/>
              <w:rPr>
                <w:rFonts w:asciiTheme="minorEastAsia" w:hAnsiTheme="minorEastAsia" w:eastAsiaTheme="minorEastAsia"/>
                <w:sz w:val="18"/>
                <w:szCs w:val="18"/>
              </w:rPr>
            </w:pPr>
          </w:p>
        </w:tc>
        <w:tc>
          <w:tcPr>
            <w:tcW w:w="425" w:type="dxa"/>
            <w:vMerge w:val="continue"/>
            <w:vAlign w:val="center"/>
          </w:tcPr>
          <w:p>
            <w:pPr>
              <w:spacing w:line="240" w:lineRule="exact"/>
              <w:rPr>
                <w:rFonts w:cs="仿宋_GB2312" w:asciiTheme="minorEastAsia" w:hAnsiTheme="minorEastAsia" w:eastAsiaTheme="minorEastAsia"/>
                <w:sz w:val="18"/>
                <w:szCs w:val="18"/>
                <w:lang w:val="zh-CN"/>
              </w:rPr>
            </w:pPr>
          </w:p>
        </w:tc>
        <w:tc>
          <w:tcPr>
            <w:tcW w:w="2693" w:type="dxa"/>
            <w:vAlign w:val="center"/>
          </w:tcPr>
          <w:p>
            <w:pPr>
              <w:spacing w:line="240" w:lineRule="exact"/>
              <w:rPr>
                <w:rFonts w:asciiTheme="minorEastAsia" w:hAnsiTheme="minorEastAsia" w:eastAsiaTheme="minorEastAsia"/>
                <w:sz w:val="18"/>
                <w:szCs w:val="18"/>
              </w:rPr>
            </w:pPr>
            <w:r>
              <w:rPr>
                <w:rFonts w:hint="eastAsia" w:cs="仿宋_GB2312" w:asciiTheme="minorEastAsia" w:hAnsiTheme="minorEastAsia" w:eastAsiaTheme="minorEastAsia"/>
                <w:sz w:val="18"/>
                <w:szCs w:val="18"/>
                <w:lang w:val="zh-CN"/>
              </w:rPr>
              <w:t>（2）</w:t>
            </w:r>
            <w:r>
              <w:rPr>
                <w:rFonts w:hint="eastAsia" w:asciiTheme="minorEastAsia" w:hAnsiTheme="minorEastAsia" w:eastAsiaTheme="minorEastAsia"/>
                <w:sz w:val="18"/>
                <w:szCs w:val="18"/>
              </w:rPr>
              <w:t>具有良好的商业信誉和健全的财务会计制度</w:t>
            </w:r>
          </w:p>
        </w:tc>
        <w:tc>
          <w:tcPr>
            <w:tcW w:w="560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提供2018年度财务状况报告（表）或其基本开户银行出具的资信证明复印件，本年度新成立或成立不满一年的组织和自然人无法提供财务状况报告（表）的，可提供银行出具的资信证明复印件。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Merge w:val="continue"/>
            <w:vAlign w:val="center"/>
          </w:tcPr>
          <w:p>
            <w:pPr>
              <w:spacing w:line="240" w:lineRule="exact"/>
              <w:jc w:val="center"/>
              <w:rPr>
                <w:rFonts w:asciiTheme="minorEastAsia" w:hAnsiTheme="minorEastAsia" w:eastAsiaTheme="minorEastAsia"/>
                <w:sz w:val="18"/>
                <w:szCs w:val="18"/>
              </w:rPr>
            </w:pPr>
          </w:p>
        </w:tc>
        <w:tc>
          <w:tcPr>
            <w:tcW w:w="425" w:type="dxa"/>
            <w:vMerge w:val="continue"/>
            <w:vAlign w:val="center"/>
          </w:tcPr>
          <w:p>
            <w:pPr>
              <w:spacing w:line="240" w:lineRule="exact"/>
              <w:rPr>
                <w:rFonts w:cs="仿宋_GB2312" w:asciiTheme="minorEastAsia" w:hAnsiTheme="minorEastAsia" w:eastAsiaTheme="minorEastAsia"/>
                <w:sz w:val="18"/>
                <w:szCs w:val="18"/>
                <w:lang w:val="zh-CN"/>
              </w:rPr>
            </w:pPr>
          </w:p>
        </w:tc>
        <w:tc>
          <w:tcPr>
            <w:tcW w:w="2693" w:type="dxa"/>
            <w:vAlign w:val="center"/>
          </w:tcPr>
          <w:p>
            <w:pPr>
              <w:spacing w:line="240" w:lineRule="exact"/>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（3）具有履行合同所必需的设备和专业技术能力</w:t>
            </w:r>
          </w:p>
        </w:tc>
        <w:tc>
          <w:tcPr>
            <w:tcW w:w="560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配送服务企业提供书面声明或相关证明材料（见格式文件）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Merge w:val="continue"/>
            <w:vAlign w:val="center"/>
          </w:tcPr>
          <w:p>
            <w:pPr>
              <w:spacing w:line="240" w:lineRule="exact"/>
              <w:jc w:val="center"/>
              <w:rPr>
                <w:rFonts w:asciiTheme="minorEastAsia" w:hAnsiTheme="minorEastAsia" w:eastAsiaTheme="minorEastAsia"/>
                <w:sz w:val="18"/>
                <w:szCs w:val="18"/>
              </w:rPr>
            </w:pPr>
          </w:p>
        </w:tc>
        <w:tc>
          <w:tcPr>
            <w:tcW w:w="425" w:type="dxa"/>
            <w:vMerge w:val="continue"/>
            <w:vAlign w:val="center"/>
          </w:tcPr>
          <w:p>
            <w:pPr>
              <w:spacing w:line="240" w:lineRule="exact"/>
              <w:rPr>
                <w:rFonts w:cs="仿宋_GB2312" w:asciiTheme="minorEastAsia" w:hAnsiTheme="minorEastAsia" w:eastAsiaTheme="minorEastAsia"/>
                <w:sz w:val="18"/>
                <w:szCs w:val="18"/>
                <w:lang w:val="zh-CN"/>
              </w:rPr>
            </w:pPr>
          </w:p>
        </w:tc>
        <w:tc>
          <w:tcPr>
            <w:tcW w:w="2693" w:type="dxa"/>
            <w:vAlign w:val="center"/>
          </w:tcPr>
          <w:p>
            <w:pPr>
              <w:spacing w:line="240" w:lineRule="exact"/>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lang w:val="zh-CN"/>
              </w:rPr>
              <w:t>（4）有依法缴纳税收和社会保障金的良好记录</w:t>
            </w:r>
          </w:p>
        </w:tc>
        <w:tc>
          <w:tcPr>
            <w:tcW w:w="560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1.税务登记证（副本）复印件（注</w:t>
            </w:r>
            <w:r>
              <w:rPr>
                <w:rFonts w:hint="eastAsia" w:cs="宋体" w:asciiTheme="minorEastAsia" w:hAnsiTheme="minorEastAsia" w:eastAsiaTheme="minorEastAsia"/>
                <w:sz w:val="18"/>
                <w:szCs w:val="18"/>
              </w:rPr>
              <w:fldChar w:fldCharType="begin"/>
            </w:r>
            <w:r>
              <w:rPr>
                <w:rFonts w:hint="eastAsia" w:cs="宋体" w:asciiTheme="minorEastAsia" w:hAnsiTheme="minorEastAsia" w:eastAsiaTheme="minorEastAsia"/>
                <w:sz w:val="18"/>
                <w:szCs w:val="18"/>
              </w:rPr>
              <w:instrText xml:space="preserve"> eq \o\ac(○,</w:instrText>
            </w:r>
            <w:r>
              <w:rPr>
                <w:rFonts w:hint="eastAsia" w:cs="宋体" w:asciiTheme="minorEastAsia" w:hAnsiTheme="minorEastAsia" w:eastAsiaTheme="minorEastAsia"/>
                <w:position w:val="3"/>
                <w:sz w:val="18"/>
                <w:szCs w:val="18"/>
              </w:rPr>
              <w:instrText xml:space="preserve">1</w:instrText>
            </w:r>
            <w:r>
              <w:rPr>
                <w:rFonts w:hint="eastAsia" w:cs="宋体" w:asciiTheme="minorEastAsia" w:hAnsiTheme="minorEastAsia" w:eastAsiaTheme="minorEastAsia"/>
                <w:sz w:val="18"/>
                <w:szCs w:val="18"/>
              </w:rPr>
              <w:instrText xml:space="preserve">)</w:instrText>
            </w:r>
            <w:r>
              <w:rPr>
                <w:rFonts w:hint="eastAsia" w:cs="宋体" w:asciiTheme="minorEastAsia" w:hAnsiTheme="minorEastAsia" w:eastAsiaTheme="minorEastAsia"/>
                <w:sz w:val="18"/>
                <w:szCs w:val="18"/>
              </w:rPr>
              <w:fldChar w:fldCharType="end"/>
            </w:r>
            <w:r>
              <w:rPr>
                <w:rFonts w:hint="eastAsia" w:asciiTheme="minorEastAsia" w:hAnsiTheme="minorEastAsia" w:eastAsiaTheme="minorEastAsia"/>
                <w:sz w:val="18"/>
                <w:szCs w:val="18"/>
              </w:rPr>
              <w:t>）</w:t>
            </w:r>
          </w:p>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2.缴纳社会保障金的证明材料复印件（缴纳社会保障金的证明材料指：社会保险登记证（注</w:t>
            </w:r>
            <w:r>
              <w:rPr>
                <w:rFonts w:hint="eastAsia" w:cs="宋体" w:asciiTheme="minorEastAsia" w:hAnsiTheme="minorEastAsia" w:eastAsiaTheme="minorEastAsia"/>
                <w:sz w:val="18"/>
                <w:szCs w:val="18"/>
              </w:rPr>
              <w:fldChar w:fldCharType="begin"/>
            </w:r>
            <w:r>
              <w:rPr>
                <w:rFonts w:hint="eastAsia" w:cs="宋体" w:asciiTheme="minorEastAsia" w:hAnsiTheme="minorEastAsia" w:eastAsiaTheme="minorEastAsia"/>
                <w:sz w:val="18"/>
                <w:szCs w:val="18"/>
              </w:rPr>
              <w:instrText xml:space="preserve"> eq \o\ac(○,</w:instrText>
            </w:r>
            <w:r>
              <w:rPr>
                <w:rFonts w:hint="eastAsia" w:cs="宋体" w:asciiTheme="minorEastAsia" w:hAnsiTheme="minorEastAsia" w:eastAsiaTheme="minorEastAsia"/>
                <w:position w:val="3"/>
                <w:sz w:val="18"/>
                <w:szCs w:val="18"/>
              </w:rPr>
              <w:instrText xml:space="preserve">1</w:instrText>
            </w:r>
            <w:r>
              <w:rPr>
                <w:rFonts w:hint="eastAsia" w:cs="宋体" w:asciiTheme="minorEastAsia" w:hAnsiTheme="minorEastAsia" w:eastAsiaTheme="minorEastAsia"/>
                <w:sz w:val="18"/>
                <w:szCs w:val="18"/>
              </w:rPr>
              <w:instrText xml:space="preserve">)</w:instrText>
            </w:r>
            <w:r>
              <w:rPr>
                <w:rFonts w:hint="eastAsia" w:cs="宋体" w:asciiTheme="minorEastAsia" w:hAnsiTheme="minorEastAsia" w:eastAsiaTheme="minorEastAsia"/>
                <w:sz w:val="18"/>
                <w:szCs w:val="18"/>
              </w:rPr>
              <w:fldChar w:fldCharType="end"/>
            </w:r>
            <w:r>
              <w:rPr>
                <w:rFonts w:hint="eastAsia" w:asciiTheme="minorEastAsia" w:hAnsiTheme="minorEastAsia" w:eastAsiaTheme="minorEastAsia"/>
                <w:sz w:val="18"/>
                <w:szCs w:val="18"/>
              </w:rPr>
              <w:t>）或缴纳社会保险的凭据（专用收据或社会保险缴纳清单）。依法免税或不需要缴纳社会保障资金的配送服务企业，应提供相应文件证明其依法免税或不需要缴纳社会保障资金。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Merge w:val="continue"/>
            <w:vAlign w:val="center"/>
          </w:tcPr>
          <w:p>
            <w:pPr>
              <w:spacing w:line="240" w:lineRule="exact"/>
              <w:jc w:val="center"/>
              <w:rPr>
                <w:rFonts w:asciiTheme="minorEastAsia" w:hAnsiTheme="minorEastAsia" w:eastAsiaTheme="minorEastAsia"/>
                <w:sz w:val="18"/>
                <w:szCs w:val="18"/>
              </w:rPr>
            </w:pPr>
          </w:p>
        </w:tc>
        <w:tc>
          <w:tcPr>
            <w:tcW w:w="425" w:type="dxa"/>
            <w:vMerge w:val="continue"/>
            <w:vAlign w:val="center"/>
          </w:tcPr>
          <w:p>
            <w:pPr>
              <w:spacing w:line="240" w:lineRule="exact"/>
              <w:rPr>
                <w:rFonts w:cs="仿宋_GB2312" w:asciiTheme="minorEastAsia" w:hAnsiTheme="minorEastAsia" w:eastAsiaTheme="minorEastAsia"/>
                <w:sz w:val="18"/>
                <w:szCs w:val="18"/>
                <w:lang w:val="zh-CN"/>
              </w:rPr>
            </w:pPr>
          </w:p>
        </w:tc>
        <w:tc>
          <w:tcPr>
            <w:tcW w:w="2693" w:type="dxa"/>
            <w:vAlign w:val="center"/>
          </w:tcPr>
          <w:p>
            <w:pPr>
              <w:spacing w:line="240" w:lineRule="exact"/>
              <w:rPr>
                <w:rFonts w:cs="仿宋_GB2312" w:asciiTheme="minorEastAsia" w:hAnsiTheme="minorEastAsia" w:eastAsiaTheme="minorEastAsia"/>
                <w:sz w:val="18"/>
                <w:szCs w:val="18"/>
                <w:lang w:val="zh-CN"/>
              </w:rPr>
            </w:pPr>
            <w:r>
              <w:rPr>
                <w:rFonts w:hint="eastAsia" w:asciiTheme="minorEastAsia" w:hAnsiTheme="minorEastAsia" w:eastAsiaTheme="minorEastAsia"/>
                <w:sz w:val="18"/>
                <w:szCs w:val="18"/>
              </w:rPr>
              <w:t>（5）参加政府采购活动前三年内，在经营活动中没有重大违法记录（注</w:t>
            </w:r>
            <w:r>
              <w:rPr>
                <w:rFonts w:hint="eastAsia" w:cs="宋体" w:asciiTheme="minorEastAsia" w:hAnsiTheme="minorEastAsia" w:eastAsiaTheme="minorEastAsia"/>
                <w:sz w:val="18"/>
                <w:szCs w:val="18"/>
              </w:rPr>
              <w:fldChar w:fldCharType="begin"/>
            </w:r>
            <w:r>
              <w:rPr>
                <w:rFonts w:hint="eastAsia" w:cs="宋体" w:asciiTheme="minorEastAsia" w:hAnsiTheme="minorEastAsia" w:eastAsiaTheme="minorEastAsia"/>
                <w:sz w:val="18"/>
                <w:szCs w:val="18"/>
              </w:rPr>
              <w:instrText xml:space="preserve"> eq \o\ac(○,</w:instrText>
            </w:r>
            <w:r>
              <w:rPr>
                <w:rFonts w:hint="eastAsia" w:cs="宋体" w:asciiTheme="minorEastAsia" w:hAnsiTheme="minorEastAsia" w:eastAsiaTheme="minorEastAsia"/>
                <w:position w:val="3"/>
                <w:sz w:val="18"/>
                <w:szCs w:val="18"/>
              </w:rPr>
              <w:instrText xml:space="preserve">2</w:instrText>
            </w:r>
            <w:r>
              <w:rPr>
                <w:rFonts w:hint="eastAsia" w:cs="宋体" w:asciiTheme="minorEastAsia" w:hAnsiTheme="minorEastAsia" w:eastAsiaTheme="minorEastAsia"/>
                <w:sz w:val="18"/>
                <w:szCs w:val="18"/>
              </w:rPr>
              <w:instrText xml:space="preserve">)</w:instrText>
            </w:r>
            <w:r>
              <w:rPr>
                <w:rFonts w:hint="eastAsia" w:cs="宋体" w:asciiTheme="minorEastAsia" w:hAnsiTheme="minorEastAsia" w:eastAsiaTheme="minorEastAsia"/>
                <w:sz w:val="18"/>
                <w:szCs w:val="18"/>
              </w:rPr>
              <w:fldChar w:fldCharType="end"/>
            </w:r>
            <w:r>
              <w:rPr>
                <w:rFonts w:hint="eastAsia" w:asciiTheme="minorEastAsia" w:hAnsiTheme="minorEastAsia" w:eastAsiaTheme="minorEastAsia"/>
                <w:sz w:val="18"/>
                <w:szCs w:val="18"/>
              </w:rPr>
              <w:t>）</w:t>
            </w:r>
          </w:p>
        </w:tc>
        <w:tc>
          <w:tcPr>
            <w:tcW w:w="5603" w:type="dxa"/>
            <w:vAlign w:val="center"/>
          </w:tcPr>
          <w:p>
            <w:pPr>
              <w:spacing w:line="24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1.配送服务企业提供书面声明（见格式文件）；</w:t>
            </w:r>
          </w:p>
          <w:p>
            <w:pPr>
              <w:spacing w:line="240" w:lineRule="exact"/>
              <w:rPr>
                <w:rFonts w:asciiTheme="minorEastAsia" w:hAnsiTheme="minorEastAsia" w:eastAsiaTheme="minorEastAsia"/>
                <w:b/>
                <w:sz w:val="18"/>
                <w:szCs w:val="18"/>
              </w:rPr>
            </w:pPr>
            <w:r>
              <w:rPr>
                <w:rFonts w:hint="eastAsia" w:asciiTheme="minorEastAsia" w:hAnsiTheme="minorEastAsia" w:eastAsiaTheme="minorEastAsia"/>
                <w:b/>
                <w:sz w:val="18"/>
                <w:szCs w:val="18"/>
              </w:rPr>
              <w:t>2.招标人将通过 “信用中国”网站(www.creditchina.gov.cn)、"中国政府采购网"(www.ccgp.gov.cn)等渠道查询配送服务企业信用记录，对列入失信被执行人、重大税收违法案件当事人名单、政府采购严重违法失信行为记录名单的配送服务企业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466" w:type="dxa"/>
            <w:vMerge w:val="continue"/>
            <w:vAlign w:val="center"/>
          </w:tcPr>
          <w:p>
            <w:pPr>
              <w:spacing w:line="240" w:lineRule="exact"/>
              <w:jc w:val="center"/>
              <w:rPr>
                <w:rFonts w:asciiTheme="minorEastAsia" w:hAnsiTheme="minorEastAsia" w:eastAsiaTheme="minorEastAsia"/>
                <w:sz w:val="18"/>
                <w:szCs w:val="18"/>
              </w:rPr>
            </w:pPr>
          </w:p>
        </w:tc>
        <w:tc>
          <w:tcPr>
            <w:tcW w:w="425" w:type="dxa"/>
            <w:vMerge w:val="continue"/>
            <w:vAlign w:val="center"/>
          </w:tcPr>
          <w:p>
            <w:pPr>
              <w:spacing w:line="240" w:lineRule="exact"/>
              <w:rPr>
                <w:rFonts w:cs="仿宋_GB2312" w:asciiTheme="minorEastAsia" w:hAnsiTheme="minorEastAsia" w:eastAsiaTheme="minorEastAsia"/>
                <w:sz w:val="18"/>
                <w:szCs w:val="18"/>
              </w:rPr>
            </w:pPr>
          </w:p>
        </w:tc>
        <w:tc>
          <w:tcPr>
            <w:tcW w:w="269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（6）法律、行政法规规定的其他条件</w:t>
            </w:r>
          </w:p>
        </w:tc>
        <w:tc>
          <w:tcPr>
            <w:tcW w:w="5603" w:type="dxa"/>
            <w:vAlign w:val="center"/>
          </w:tcPr>
          <w:p>
            <w:pPr>
              <w:spacing w:line="240" w:lineRule="exact"/>
              <w:rPr>
                <w:rFonts w:asciiTheme="minorEastAsia" w:hAnsiTheme="minorEastAsia" w:eastAsia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6"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c>
          <w:tcPr>
            <w:tcW w:w="3118" w:type="dxa"/>
            <w:gridSpan w:val="2"/>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特定资格条件</w:t>
            </w:r>
          </w:p>
        </w:tc>
        <w:tc>
          <w:tcPr>
            <w:tcW w:w="560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按第一章“五、配送服务企业应具有的资格条件（二）特定资格条件”的要求提交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466" w:type="dxa"/>
            <w:vAlign w:val="center"/>
          </w:tcPr>
          <w:p>
            <w:pPr>
              <w:spacing w:line="24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c>
          <w:tcPr>
            <w:tcW w:w="3118" w:type="dxa"/>
            <w:gridSpan w:val="2"/>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保证金</w:t>
            </w:r>
          </w:p>
        </w:tc>
        <w:tc>
          <w:tcPr>
            <w:tcW w:w="560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按照招标文件的规定提交保证金</w:t>
            </w:r>
          </w:p>
        </w:tc>
      </w:tr>
    </w:tbl>
    <w:p>
      <w:pPr>
        <w:snapToGrid w:val="0"/>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注：</w:t>
      </w:r>
    </w:p>
    <w:p>
      <w:pPr>
        <w:snapToGrid w:val="0"/>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fldChar w:fldCharType="begin"/>
      </w:r>
      <w:r>
        <w:rPr>
          <w:rFonts w:hint="eastAsia" w:cs="宋体" w:asciiTheme="minorEastAsia" w:hAnsiTheme="minorEastAsia" w:eastAsiaTheme="minorEastAsia"/>
          <w:sz w:val="24"/>
          <w:szCs w:val="24"/>
        </w:rPr>
        <w:instrText xml:space="preserve"> eq \o\ac(○,</w:instrText>
      </w:r>
      <w:r>
        <w:rPr>
          <w:rFonts w:hint="eastAsia" w:cs="宋体" w:asciiTheme="minorEastAsia" w:hAnsiTheme="minorEastAsia" w:eastAsiaTheme="minorEastAsia"/>
          <w:position w:val="3"/>
          <w:sz w:val="24"/>
          <w:szCs w:val="24"/>
        </w:rPr>
        <w:instrText xml:space="preserve">1</w:instrText>
      </w:r>
      <w:r>
        <w:rPr>
          <w:rFonts w:hint="eastAsia" w:cs="宋体" w:asciiTheme="minorEastAsia" w:hAnsiTheme="minorEastAsia" w:eastAsiaTheme="minorEastAsia"/>
          <w:sz w:val="24"/>
          <w:szCs w:val="24"/>
        </w:rPr>
        <w:instrText xml:space="preserve">)</w:instrText>
      </w:r>
      <w:r>
        <w:rPr>
          <w:rFonts w:hint="eastAsia"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配送服务企业按“多证合一”登记制度办理营业执照的，组织机构代码证、税务登记证（副本）和社会保险登记证以配送服务企业所提供的营业执照（副本）复印件为准。</w:t>
      </w:r>
    </w:p>
    <w:p>
      <w:pPr>
        <w:snapToGrid w:val="0"/>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fldChar w:fldCharType="begin"/>
      </w:r>
      <w:r>
        <w:rPr>
          <w:rFonts w:hint="eastAsia" w:cs="宋体" w:asciiTheme="minorEastAsia" w:hAnsiTheme="minorEastAsia" w:eastAsiaTheme="minorEastAsia"/>
          <w:sz w:val="24"/>
          <w:szCs w:val="24"/>
        </w:rPr>
        <w:instrText xml:space="preserve"> eq \o\ac(○,</w:instrText>
      </w:r>
      <w:r>
        <w:rPr>
          <w:rFonts w:hint="eastAsia" w:cs="宋体" w:asciiTheme="minorEastAsia" w:hAnsiTheme="minorEastAsia" w:eastAsiaTheme="minorEastAsia"/>
          <w:position w:val="3"/>
          <w:sz w:val="24"/>
          <w:szCs w:val="24"/>
        </w:rPr>
        <w:instrText xml:space="preserve">2</w:instrText>
      </w:r>
      <w:r>
        <w:rPr>
          <w:rFonts w:hint="eastAsia" w:cs="宋体" w:asciiTheme="minorEastAsia" w:hAnsiTheme="minorEastAsia" w:eastAsiaTheme="minorEastAsia"/>
          <w:sz w:val="24"/>
          <w:szCs w:val="24"/>
        </w:rPr>
        <w:instrText xml:space="preserve">)</w:instrText>
      </w:r>
      <w:r>
        <w:rPr>
          <w:rFonts w:hint="eastAsia"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根据《中华人民共和国政府采购法实施条例》第十九条“参加政府采购活动前三年内，在经营活动中没有重大违法记录”中“重大违法记录”，是指配送服务企业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60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(2)符合性检查。依据投标文件的规定，招标小组从响应文件的有效性、完整性和对投标文件的响应程度进行审查，以确定是否对投标文件的实质性要求作出响应。</w:t>
      </w:r>
      <w:r>
        <w:rPr>
          <w:rFonts w:hint="eastAsia" w:asciiTheme="minorEastAsia" w:hAnsiTheme="minorEastAsia" w:eastAsiaTheme="minorEastAsia"/>
          <w:sz w:val="24"/>
          <w:szCs w:val="24"/>
        </w:rPr>
        <w:t>符合性检查资料表如下：</w:t>
      </w:r>
    </w:p>
    <w:tbl>
      <w:tblPr>
        <w:tblStyle w:val="25"/>
        <w:tblW w:w="90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34"/>
        <w:gridCol w:w="2023"/>
        <w:gridCol w:w="5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670" w:type="dxa"/>
            <w:vAlign w:val="center"/>
          </w:tcPr>
          <w:p>
            <w:pPr>
              <w:spacing w:line="240" w:lineRule="exact"/>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序号</w:t>
            </w:r>
          </w:p>
        </w:tc>
        <w:tc>
          <w:tcPr>
            <w:tcW w:w="3157" w:type="dxa"/>
            <w:gridSpan w:val="2"/>
            <w:vAlign w:val="center"/>
          </w:tcPr>
          <w:p>
            <w:pPr>
              <w:spacing w:line="240" w:lineRule="exact"/>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评审因素</w:t>
            </w:r>
          </w:p>
        </w:tc>
        <w:tc>
          <w:tcPr>
            <w:tcW w:w="5195" w:type="dxa"/>
            <w:vAlign w:val="center"/>
          </w:tcPr>
          <w:p>
            <w:pPr>
              <w:spacing w:line="240" w:lineRule="exact"/>
              <w:jc w:val="center"/>
              <w:rPr>
                <w:rFonts w:cs="宋体" w:asciiTheme="minorEastAsia" w:hAnsiTheme="minorEastAsia" w:eastAsiaTheme="minorEastAsia"/>
                <w:b/>
                <w:sz w:val="18"/>
                <w:szCs w:val="18"/>
              </w:rPr>
            </w:pPr>
            <w:r>
              <w:rPr>
                <w:rFonts w:hint="eastAsia" w:cs="宋体" w:asciiTheme="minorEastAsia" w:hAnsiTheme="minorEastAsia" w:eastAsiaTheme="minorEastAsia"/>
                <w:b/>
                <w:sz w:val="18"/>
                <w:szCs w:val="1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670" w:type="dxa"/>
            <w:vMerge w:val="restart"/>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1</w:t>
            </w:r>
          </w:p>
        </w:tc>
        <w:tc>
          <w:tcPr>
            <w:tcW w:w="1134" w:type="dxa"/>
            <w:vMerge w:val="restart"/>
            <w:vAlign w:val="center"/>
          </w:tcPr>
          <w:p>
            <w:pPr>
              <w:spacing w:line="240" w:lineRule="exac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有效性审查</w:t>
            </w:r>
          </w:p>
        </w:tc>
        <w:tc>
          <w:tcPr>
            <w:tcW w:w="2023" w:type="dxa"/>
            <w:vAlign w:val="center"/>
          </w:tcPr>
          <w:p>
            <w:pPr>
              <w:spacing w:line="240" w:lineRule="exact"/>
              <w:rPr>
                <w:rFonts w:cs="宋体" w:asciiTheme="minorEastAsia" w:hAnsiTheme="minorEastAsia" w:eastAsiaTheme="minorEastAsia"/>
                <w:sz w:val="18"/>
                <w:szCs w:val="18"/>
              </w:rPr>
            </w:pPr>
            <w:r>
              <w:rPr>
                <w:rFonts w:hint="eastAsia" w:asciiTheme="minorEastAsia" w:hAnsiTheme="minorEastAsia" w:eastAsiaTheme="minorEastAsia"/>
                <w:sz w:val="18"/>
                <w:szCs w:val="18"/>
              </w:rPr>
              <w:t>响应文件签署</w:t>
            </w:r>
          </w:p>
        </w:tc>
        <w:tc>
          <w:tcPr>
            <w:tcW w:w="5195" w:type="dxa"/>
            <w:vAlign w:val="center"/>
          </w:tcPr>
          <w:p>
            <w:pPr>
              <w:spacing w:line="240" w:lineRule="exact"/>
              <w:rPr>
                <w:rFonts w:cs="宋体" w:asciiTheme="minorEastAsia" w:hAnsiTheme="minorEastAsia" w:eastAsiaTheme="minorEastAsia"/>
                <w:sz w:val="18"/>
                <w:szCs w:val="18"/>
              </w:rPr>
            </w:pPr>
            <w:r>
              <w:rPr>
                <w:rFonts w:hint="eastAsia" w:asciiTheme="minorEastAsia" w:hAnsiTheme="minorEastAsia" w:eastAsiaTheme="minorEastAsia"/>
                <w:sz w:val="18"/>
                <w:szCs w:val="18"/>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jc w:val="center"/>
        </w:trPr>
        <w:tc>
          <w:tcPr>
            <w:tcW w:w="670" w:type="dxa"/>
            <w:vMerge w:val="continue"/>
            <w:vAlign w:val="center"/>
          </w:tcPr>
          <w:p>
            <w:pPr>
              <w:spacing w:line="240" w:lineRule="exact"/>
              <w:jc w:val="center"/>
              <w:rPr>
                <w:rFonts w:cs="宋体" w:asciiTheme="minorEastAsia" w:hAnsiTheme="minorEastAsia" w:eastAsiaTheme="minorEastAsia"/>
                <w:sz w:val="18"/>
                <w:szCs w:val="18"/>
              </w:rPr>
            </w:pPr>
          </w:p>
        </w:tc>
        <w:tc>
          <w:tcPr>
            <w:tcW w:w="1134" w:type="dxa"/>
            <w:vMerge w:val="continue"/>
            <w:vAlign w:val="center"/>
          </w:tcPr>
          <w:p>
            <w:pPr>
              <w:spacing w:line="240" w:lineRule="exact"/>
              <w:rPr>
                <w:rFonts w:cs="宋体" w:asciiTheme="minorEastAsia" w:hAnsiTheme="minorEastAsia" w:eastAsiaTheme="minorEastAsia"/>
                <w:sz w:val="18"/>
                <w:szCs w:val="18"/>
              </w:rPr>
            </w:pPr>
          </w:p>
        </w:tc>
        <w:tc>
          <w:tcPr>
            <w:tcW w:w="2023"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法定代表人身份证明及授权委托书</w:t>
            </w:r>
          </w:p>
        </w:tc>
        <w:tc>
          <w:tcPr>
            <w:tcW w:w="5195" w:type="dxa"/>
            <w:vAlign w:val="center"/>
          </w:tcPr>
          <w:p>
            <w:pPr>
              <w:spacing w:line="240" w:lineRule="exact"/>
              <w:rPr>
                <w:rFonts w:asciiTheme="minorEastAsia" w:hAnsiTheme="minorEastAsia" w:eastAsiaTheme="minorEastAsia"/>
                <w:sz w:val="18"/>
                <w:szCs w:val="18"/>
              </w:rPr>
            </w:pPr>
            <w:r>
              <w:rPr>
                <w:rFonts w:hint="eastAsia" w:asciiTheme="minorEastAsia" w:hAnsiTheme="minorEastAsia" w:eastAsiaTheme="minorEastAsia"/>
                <w:sz w:val="18"/>
                <w:szCs w:val="18"/>
              </w:rPr>
              <w:t>法定代表人身份证明及授权委托书有效，符合投标文件规定的格式，签字或盖章齐全。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670" w:type="dxa"/>
            <w:vMerge w:val="continue"/>
            <w:vAlign w:val="center"/>
          </w:tcPr>
          <w:p>
            <w:pPr>
              <w:spacing w:line="240" w:lineRule="exact"/>
              <w:jc w:val="center"/>
              <w:rPr>
                <w:rFonts w:cs="宋体" w:asciiTheme="minorEastAsia" w:hAnsiTheme="minorEastAsia" w:eastAsiaTheme="minorEastAsia"/>
                <w:sz w:val="18"/>
                <w:szCs w:val="18"/>
              </w:rPr>
            </w:pPr>
          </w:p>
        </w:tc>
        <w:tc>
          <w:tcPr>
            <w:tcW w:w="1134" w:type="dxa"/>
            <w:vMerge w:val="continue"/>
            <w:vAlign w:val="center"/>
          </w:tcPr>
          <w:p>
            <w:pPr>
              <w:spacing w:line="240" w:lineRule="exact"/>
              <w:rPr>
                <w:rFonts w:cs="宋体" w:asciiTheme="minorEastAsia" w:hAnsiTheme="minorEastAsia" w:eastAsiaTheme="minorEastAsia"/>
                <w:sz w:val="18"/>
                <w:szCs w:val="18"/>
              </w:rPr>
            </w:pPr>
          </w:p>
        </w:tc>
        <w:tc>
          <w:tcPr>
            <w:tcW w:w="2023" w:type="dxa"/>
            <w:vAlign w:val="center"/>
          </w:tcPr>
          <w:p>
            <w:pPr>
              <w:spacing w:line="240" w:lineRule="exact"/>
              <w:rPr>
                <w:rFonts w:cs="仿宋_GB2312" w:asciiTheme="minorEastAsia" w:hAnsiTheme="minorEastAsia" w:eastAsiaTheme="minorEastAsia"/>
                <w:sz w:val="18"/>
                <w:szCs w:val="18"/>
                <w:lang w:val="zh-CN"/>
              </w:rPr>
            </w:pPr>
            <w:r>
              <w:rPr>
                <w:rFonts w:hint="eastAsia" w:cs="仿宋_GB2312" w:asciiTheme="minorEastAsia" w:hAnsiTheme="minorEastAsia" w:eastAsiaTheme="minorEastAsia"/>
                <w:sz w:val="18"/>
                <w:szCs w:val="18"/>
              </w:rPr>
              <w:t>响应</w:t>
            </w:r>
            <w:r>
              <w:rPr>
                <w:rFonts w:hint="eastAsia" w:cs="仿宋_GB2312" w:asciiTheme="minorEastAsia" w:hAnsiTheme="minorEastAsia" w:eastAsiaTheme="minorEastAsia"/>
                <w:sz w:val="18"/>
                <w:szCs w:val="18"/>
                <w:lang w:val="zh-CN"/>
              </w:rPr>
              <w:t>方案</w:t>
            </w:r>
          </w:p>
        </w:tc>
        <w:tc>
          <w:tcPr>
            <w:tcW w:w="5195" w:type="dxa"/>
            <w:vAlign w:val="center"/>
          </w:tcPr>
          <w:p>
            <w:pPr>
              <w:spacing w:line="240" w:lineRule="exact"/>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lang w:val="zh-CN"/>
              </w:rPr>
              <w:t>只能有一个</w:t>
            </w:r>
            <w:r>
              <w:rPr>
                <w:rFonts w:hint="eastAsia" w:cs="仿宋_GB2312" w:asciiTheme="minorEastAsia" w:hAnsiTheme="minorEastAsia" w:eastAsiaTheme="minorEastAsia"/>
                <w:sz w:val="18"/>
                <w:szCs w:val="18"/>
              </w:rPr>
              <w:t>响应</w:t>
            </w:r>
            <w:r>
              <w:rPr>
                <w:rFonts w:hint="eastAsia" w:cs="仿宋_GB2312" w:asciiTheme="minorEastAsia" w:hAnsiTheme="minorEastAsia" w:eastAsiaTheme="minorEastAsia"/>
                <w:sz w:val="18"/>
                <w:szCs w:val="18"/>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70"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2</w:t>
            </w:r>
          </w:p>
        </w:tc>
        <w:tc>
          <w:tcPr>
            <w:tcW w:w="1134" w:type="dxa"/>
            <w:vAlign w:val="center"/>
          </w:tcPr>
          <w:p>
            <w:pPr>
              <w:spacing w:line="240" w:lineRule="exac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完整性审查</w:t>
            </w:r>
          </w:p>
        </w:tc>
        <w:tc>
          <w:tcPr>
            <w:tcW w:w="2023" w:type="dxa"/>
            <w:vAlign w:val="center"/>
          </w:tcPr>
          <w:p>
            <w:pPr>
              <w:spacing w:line="240" w:lineRule="exact"/>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rPr>
              <w:t>响应</w:t>
            </w:r>
            <w:r>
              <w:rPr>
                <w:rFonts w:hint="eastAsia" w:cs="仿宋_GB2312" w:asciiTheme="minorEastAsia" w:hAnsiTheme="minorEastAsia" w:eastAsiaTheme="minorEastAsia"/>
                <w:sz w:val="18"/>
                <w:szCs w:val="18"/>
                <w:lang w:val="zh-CN"/>
              </w:rPr>
              <w:t>文件份数</w:t>
            </w:r>
          </w:p>
        </w:tc>
        <w:tc>
          <w:tcPr>
            <w:tcW w:w="5195" w:type="dxa"/>
            <w:vAlign w:val="center"/>
          </w:tcPr>
          <w:p>
            <w:pPr>
              <w:spacing w:line="240" w:lineRule="exact"/>
              <w:rPr>
                <w:rFonts w:cs="宋体" w:asciiTheme="minorEastAsia" w:hAnsiTheme="minorEastAsia" w:eastAsiaTheme="minorEastAsia"/>
                <w:sz w:val="18"/>
                <w:szCs w:val="18"/>
              </w:rPr>
            </w:pPr>
            <w:r>
              <w:rPr>
                <w:rFonts w:hint="eastAsia" w:cs="仿宋_GB2312" w:asciiTheme="minorEastAsia" w:hAnsiTheme="minorEastAsia" w:eastAsiaTheme="minorEastAsia"/>
                <w:sz w:val="18"/>
                <w:szCs w:val="18"/>
              </w:rPr>
              <w:t>响应</w:t>
            </w:r>
            <w:r>
              <w:rPr>
                <w:rFonts w:hint="eastAsia" w:cs="仿宋_GB2312" w:asciiTheme="minorEastAsia" w:hAnsiTheme="minorEastAsia" w:eastAsiaTheme="minorEastAsia"/>
                <w:sz w:val="18"/>
                <w:szCs w:val="18"/>
                <w:lang w:val="zh-CN"/>
              </w:rPr>
              <w:t>文件正、副本数量（含电子文档）符合</w:t>
            </w:r>
            <w:r>
              <w:rPr>
                <w:rFonts w:hint="eastAsia" w:cs="仿宋_GB2312" w:asciiTheme="minorEastAsia" w:hAnsiTheme="minorEastAsia" w:eastAsiaTheme="minorEastAsia"/>
                <w:sz w:val="18"/>
                <w:szCs w:val="18"/>
              </w:rPr>
              <w:t>投标</w:t>
            </w:r>
            <w:r>
              <w:rPr>
                <w:rFonts w:hint="eastAsia" w:cs="仿宋_GB2312" w:asciiTheme="minorEastAsia" w:hAnsiTheme="minorEastAsia" w:eastAsiaTheme="minorEastAsia"/>
                <w:sz w:val="18"/>
                <w:szCs w:val="18"/>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670" w:type="dxa"/>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3</w:t>
            </w:r>
          </w:p>
        </w:tc>
        <w:tc>
          <w:tcPr>
            <w:tcW w:w="1134" w:type="dxa"/>
            <w:vAlign w:val="center"/>
          </w:tcPr>
          <w:p>
            <w:pPr>
              <w:spacing w:line="240" w:lineRule="exac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完整性审查</w:t>
            </w:r>
          </w:p>
        </w:tc>
        <w:tc>
          <w:tcPr>
            <w:tcW w:w="2023"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响应</w:t>
            </w:r>
            <w:r>
              <w:rPr>
                <w:rFonts w:hint="eastAsia" w:cs="仿宋_GB2312" w:asciiTheme="minorEastAsia" w:hAnsiTheme="minorEastAsia" w:eastAsiaTheme="minorEastAsia"/>
                <w:sz w:val="18"/>
                <w:szCs w:val="18"/>
                <w:lang w:val="zh-CN"/>
              </w:rPr>
              <w:t>文件书写</w:t>
            </w:r>
          </w:p>
        </w:tc>
        <w:tc>
          <w:tcPr>
            <w:tcW w:w="5195" w:type="dxa"/>
            <w:vAlign w:val="center"/>
          </w:tcPr>
          <w:p>
            <w:pPr>
              <w:spacing w:line="240" w:lineRule="exact"/>
              <w:rPr>
                <w:rFonts w:cs="仿宋_GB2312" w:asciiTheme="minorEastAsia" w:hAnsiTheme="minorEastAsia" w:eastAsiaTheme="minorEastAsia"/>
                <w:sz w:val="18"/>
                <w:szCs w:val="18"/>
              </w:rPr>
            </w:pPr>
            <w:r>
              <w:rPr>
                <w:rFonts w:hint="eastAsia" w:cs="仿宋_GB2312" w:asciiTheme="minorEastAsia" w:hAnsiTheme="minorEastAsia" w:eastAsiaTheme="minorEastAsia"/>
                <w:sz w:val="18"/>
                <w:szCs w:val="18"/>
              </w:rPr>
              <w:t>响应</w:t>
            </w:r>
            <w:r>
              <w:rPr>
                <w:rFonts w:hint="eastAsia" w:cs="仿宋_GB2312" w:asciiTheme="minorEastAsia" w:hAnsiTheme="minorEastAsia" w:eastAsiaTheme="minorEastAsia"/>
                <w:sz w:val="18"/>
                <w:szCs w:val="18"/>
                <w:lang w:val="zh-CN"/>
              </w:rPr>
              <w:t>文件正、副本符合招标文件要求书写。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0" w:type="dxa"/>
            <w:vMerge w:val="restart"/>
            <w:vAlign w:val="center"/>
          </w:tcPr>
          <w:p>
            <w:pPr>
              <w:spacing w:line="240" w:lineRule="exact"/>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4</w:t>
            </w:r>
          </w:p>
        </w:tc>
        <w:tc>
          <w:tcPr>
            <w:tcW w:w="1134" w:type="dxa"/>
            <w:vMerge w:val="restart"/>
            <w:vAlign w:val="center"/>
          </w:tcPr>
          <w:p>
            <w:pPr>
              <w:spacing w:line="240" w:lineRule="exact"/>
              <w:rPr>
                <w:rFonts w:cs="仿宋_GB2312" w:asciiTheme="minorEastAsia" w:hAnsiTheme="minorEastAsia" w:eastAsiaTheme="minorEastAsia"/>
                <w:sz w:val="18"/>
                <w:szCs w:val="18"/>
                <w:lang w:val="zh-CN"/>
              </w:rPr>
            </w:pPr>
            <w:r>
              <w:rPr>
                <w:rFonts w:hint="eastAsia" w:cs="宋体" w:asciiTheme="minorEastAsia" w:hAnsiTheme="minorEastAsia" w:eastAsiaTheme="minorEastAsia"/>
                <w:sz w:val="18"/>
                <w:szCs w:val="18"/>
              </w:rPr>
              <w:t>竞争性投标文件的响应程度审查</w:t>
            </w:r>
          </w:p>
        </w:tc>
        <w:tc>
          <w:tcPr>
            <w:tcW w:w="2023" w:type="dxa"/>
            <w:vAlign w:val="center"/>
          </w:tcPr>
          <w:p>
            <w:pPr>
              <w:spacing w:line="240" w:lineRule="exac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响应文件内容</w:t>
            </w:r>
          </w:p>
        </w:tc>
        <w:tc>
          <w:tcPr>
            <w:tcW w:w="5195" w:type="dxa"/>
            <w:vAlign w:val="center"/>
          </w:tcPr>
          <w:p>
            <w:pPr>
              <w:pStyle w:val="14"/>
              <w:spacing w:line="240" w:lineRule="exac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对投标文件第三章规定的投标内容作出响应。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670" w:type="dxa"/>
            <w:vMerge w:val="continue"/>
            <w:vAlign w:val="center"/>
          </w:tcPr>
          <w:p>
            <w:pPr>
              <w:spacing w:line="240" w:lineRule="exact"/>
              <w:jc w:val="center"/>
              <w:rPr>
                <w:rFonts w:cs="宋体" w:asciiTheme="minorEastAsia" w:hAnsiTheme="minorEastAsia" w:eastAsiaTheme="minorEastAsia"/>
                <w:sz w:val="18"/>
                <w:szCs w:val="18"/>
              </w:rPr>
            </w:pPr>
          </w:p>
        </w:tc>
        <w:tc>
          <w:tcPr>
            <w:tcW w:w="1134" w:type="dxa"/>
            <w:vMerge w:val="continue"/>
            <w:vAlign w:val="center"/>
          </w:tcPr>
          <w:p>
            <w:pPr>
              <w:spacing w:line="240" w:lineRule="exact"/>
              <w:rPr>
                <w:rFonts w:cs="仿宋_GB2312" w:asciiTheme="minorEastAsia" w:hAnsiTheme="minorEastAsia" w:eastAsiaTheme="minorEastAsia"/>
                <w:sz w:val="18"/>
                <w:szCs w:val="18"/>
                <w:lang w:val="zh-CN"/>
              </w:rPr>
            </w:pPr>
          </w:p>
        </w:tc>
        <w:tc>
          <w:tcPr>
            <w:tcW w:w="2023" w:type="dxa"/>
            <w:vAlign w:val="center"/>
          </w:tcPr>
          <w:p>
            <w:pPr>
              <w:spacing w:line="240" w:lineRule="exac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投标有效期</w:t>
            </w:r>
          </w:p>
        </w:tc>
        <w:tc>
          <w:tcPr>
            <w:tcW w:w="5195" w:type="dxa"/>
            <w:vAlign w:val="center"/>
          </w:tcPr>
          <w:p>
            <w:pPr>
              <w:spacing w:line="240" w:lineRule="exac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满足投标文件</w:t>
            </w:r>
            <w:r>
              <w:rPr>
                <w:rFonts w:hint="eastAsia" w:cs="仿宋_GB2312" w:asciiTheme="minorEastAsia" w:hAnsiTheme="minorEastAsia" w:eastAsiaTheme="minorEastAsia"/>
                <w:sz w:val="18"/>
                <w:szCs w:val="18"/>
                <w:lang w:val="zh-CN"/>
              </w:rPr>
              <w:t>规定。</w:t>
            </w:r>
          </w:p>
        </w:tc>
      </w:tr>
    </w:tbl>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5.招标小组在对响应文件的有效性、完整性和响应程度进行审查时，可以要求配送服务企业对响应文件中含义不明确、同类问题表述不一致或者有明显文字和计算错误的内容等作出必要的澄清、说明或者更正。配送服务企业的澄清、说明或者更正不得超出响应文件的范围或者改变响应文件的实质性内容。</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6.招标小组要求配送服务企业澄清、说明或者更正响应文件应当以书面形式作出。配送服务企业的澄清、说明或者更正应当由法定代表人或其授权代表签字或者加盖公章。由授权代表签字的，应当附法定代表人授权书。配送服务企业为自然人的，应当由本人签字并附身份证明。</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7.在投标过程中投标的任何一方不得向他人透露与投标有关的技术资料、价格或其他信息。</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8.在投标过程中，招标小组可以根据投标文件和投标情况实质性变动采购需求中的技术、服务要求以及合同草案条款，但不得变动投标文件中的其他内容。实质性变动的内容，须经招标人代表确认。对投标文件作出的实质性变动是投标文件的有效组成部分，招标小组应当及时以书面形式同时通知所有参加投标的配送服务企业。配送服务企业应当按照投标文件的变动情况和投标小组的要求重新提交响应文件或重新做出相关的书面承诺，并报出最佳服务。</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9.配送服务企业在投标时作出的所有书面承诺须由法定代表人或其授权代表签字。</w:t>
      </w:r>
    </w:p>
    <w:p>
      <w:pPr>
        <w:spacing w:line="600" w:lineRule="exact"/>
        <w:ind w:left="480"/>
        <w:rPr>
          <w:rFonts w:ascii="宋体" w:cs="Times New Roman"/>
          <w:b/>
          <w:bCs/>
          <w:sz w:val="24"/>
          <w:szCs w:val="24"/>
        </w:rPr>
      </w:pPr>
      <w:r>
        <w:rPr>
          <w:rFonts w:hint="eastAsia" w:ascii="宋体" w:hAnsi="宋体" w:cs="宋体"/>
          <w:b/>
          <w:bCs/>
          <w:sz w:val="24"/>
          <w:szCs w:val="24"/>
        </w:rPr>
        <w:t>三、评标办法：</w:t>
      </w:r>
    </w:p>
    <w:p>
      <w:pPr>
        <w:spacing w:line="600" w:lineRule="exact"/>
        <w:ind w:right="-114" w:rightChars="-57" w:firstLine="499" w:firstLineChars="208"/>
        <w:rPr>
          <w:rFonts w:ascii="宋体" w:hAnsi="宋体" w:cs="宋体"/>
          <w:sz w:val="24"/>
          <w:szCs w:val="24"/>
        </w:rPr>
      </w:pPr>
      <w:r>
        <w:rPr>
          <w:rFonts w:ascii="宋体" w:hAnsi="宋体" w:cs="宋体"/>
          <w:sz w:val="24"/>
          <w:szCs w:val="24"/>
        </w:rPr>
        <w:t>1.</w:t>
      </w:r>
      <w:r>
        <w:rPr>
          <w:rFonts w:hint="eastAsia" w:ascii="宋体" w:hAnsi="宋体" w:cs="宋体"/>
          <w:sz w:val="24"/>
          <w:szCs w:val="24"/>
        </w:rPr>
        <w:t>根据《中华人民共和国政府采购法》、《中华人民共和国政府采购实施法实施条例》（国务院令第</w:t>
      </w:r>
      <w:r>
        <w:rPr>
          <w:rFonts w:ascii="宋体" w:hAnsi="宋体" w:cs="宋体"/>
          <w:sz w:val="24"/>
          <w:szCs w:val="24"/>
        </w:rPr>
        <w:t xml:space="preserve"> 658 </w:t>
      </w:r>
      <w:r>
        <w:rPr>
          <w:rFonts w:hint="eastAsia" w:ascii="宋体" w:hAnsi="宋体" w:cs="宋体"/>
          <w:sz w:val="24"/>
          <w:szCs w:val="24"/>
        </w:rPr>
        <w:t>号）和《政府采购货物和服务招标投标管理办法》（财政部第</w:t>
      </w:r>
      <w:r>
        <w:rPr>
          <w:rFonts w:ascii="宋体" w:hAnsi="宋体" w:cs="宋体"/>
          <w:sz w:val="24"/>
          <w:szCs w:val="24"/>
        </w:rPr>
        <w:t xml:space="preserve"> 18 </w:t>
      </w:r>
      <w:r>
        <w:rPr>
          <w:rFonts w:hint="eastAsia" w:ascii="宋体" w:hAnsi="宋体" w:cs="宋体"/>
          <w:sz w:val="24"/>
          <w:szCs w:val="24"/>
        </w:rPr>
        <w:t>号令）的法律规章以及《政府采购非招标采购方式管理办法》（财政部第</w:t>
      </w:r>
      <w:r>
        <w:rPr>
          <w:rFonts w:ascii="宋体" w:hAnsi="宋体" w:cs="宋体"/>
          <w:sz w:val="24"/>
          <w:szCs w:val="24"/>
        </w:rPr>
        <w:t xml:space="preserve"> 74</w:t>
      </w:r>
      <w:r>
        <w:rPr>
          <w:rFonts w:hint="eastAsia" w:ascii="宋体" w:hAnsi="宋体" w:cs="宋体"/>
          <w:sz w:val="24"/>
          <w:szCs w:val="24"/>
        </w:rPr>
        <w:t>令）结合采购项目特点制定本评审办法。</w:t>
      </w:r>
    </w:p>
    <w:p>
      <w:pPr>
        <w:spacing w:line="600" w:lineRule="exact"/>
        <w:ind w:right="-114" w:rightChars="-57" w:firstLine="499" w:firstLineChars="208"/>
        <w:rPr>
          <w:rFonts w:ascii="宋体" w:hAnsi="宋体" w:cs="宋体"/>
          <w:sz w:val="24"/>
          <w:szCs w:val="24"/>
        </w:rPr>
      </w:pPr>
      <w:r>
        <w:rPr>
          <w:rFonts w:hint="eastAsia" w:ascii="宋体" w:hAnsi="宋体" w:cs="宋体"/>
          <w:sz w:val="24"/>
          <w:szCs w:val="24"/>
        </w:rPr>
        <w:t>2.</w:t>
      </w:r>
      <w:r>
        <w:rPr>
          <w:rFonts w:hint="eastAsia" w:ascii="宋体" w:hAnsi="宋体" w:cs="宋体"/>
          <w:color w:val="000000"/>
          <w:sz w:val="24"/>
          <w:szCs w:val="24"/>
        </w:rPr>
        <w:t>按招标文件中规定的评标方法和标准，对资格审查和符合性审查合格的投标文件进行商务和技术评估。</w:t>
      </w:r>
    </w:p>
    <w:p>
      <w:pPr>
        <w:snapToGrid w:val="0"/>
        <w:spacing w:line="600" w:lineRule="exact"/>
        <w:ind w:firstLine="480" w:firstLineChars="200"/>
        <w:rPr>
          <w:rFonts w:ascii="宋体" w:hAnsi="宋体" w:cs="宋体"/>
          <w:color w:val="000000"/>
          <w:sz w:val="24"/>
          <w:szCs w:val="24"/>
        </w:rPr>
      </w:pPr>
      <w:r>
        <w:rPr>
          <w:rFonts w:hint="eastAsia" w:ascii="宋体" w:hAnsi="宋体" w:cs="宋体"/>
          <w:color w:val="000000"/>
          <w:sz w:val="24"/>
          <w:szCs w:val="24"/>
        </w:rPr>
        <w:t>评标委员会各成员独立对每个有效投标人（通过资格审查、符合性审查的投标人）的投标文件进行评价、打分，然后由评标委员会对各成员打分情况进行核查及复核，个别成员对同一投标人同一评分项的打分偏离较大的，应对投标人的投标文件进行再次核对，确属打分有误的，应及时进行修正。</w:t>
      </w:r>
    </w:p>
    <w:p>
      <w:pPr>
        <w:snapToGrid w:val="0"/>
        <w:spacing w:line="600" w:lineRule="exact"/>
        <w:ind w:firstLine="480" w:firstLineChars="200"/>
        <w:rPr>
          <w:rFonts w:ascii="宋体" w:hAnsi="宋体" w:cs="宋体"/>
          <w:color w:val="000000"/>
          <w:sz w:val="24"/>
          <w:szCs w:val="24"/>
        </w:rPr>
      </w:pPr>
      <w:r>
        <w:rPr>
          <w:rFonts w:hint="eastAsia" w:ascii="宋体" w:hAnsi="宋体" w:cs="宋体"/>
          <w:color w:val="000000"/>
          <w:sz w:val="24"/>
          <w:szCs w:val="24"/>
        </w:rPr>
        <w:t>复核后，评标委员会汇总每个投标人每项评分因素的得分。</w:t>
      </w:r>
    </w:p>
    <w:p>
      <w:pPr>
        <w:spacing w:line="600" w:lineRule="exact"/>
        <w:ind w:firstLine="480" w:firstLineChars="200"/>
        <w:rPr>
          <w:rFonts w:ascii="宋体" w:hAnsi="宋体" w:cs="宋体"/>
          <w:sz w:val="24"/>
          <w:szCs w:val="24"/>
        </w:rPr>
      </w:pPr>
      <w:r>
        <w:rPr>
          <w:rFonts w:ascii="宋体" w:hAnsi="宋体" w:cs="宋体"/>
          <w:sz w:val="24"/>
          <w:szCs w:val="24"/>
        </w:rPr>
        <w:t>3.</w:t>
      </w:r>
      <w:r>
        <w:rPr>
          <w:rFonts w:hint="eastAsia" w:ascii="宋体" w:hAnsi="宋体" w:cs="宋体"/>
          <w:sz w:val="24"/>
          <w:szCs w:val="24"/>
        </w:rPr>
        <w:t>评标小组各成员独立分别对每一个标包实质性响应文件进行评价、打分，然后汇总每个配送服务企业每项评分因素的得分，并根据综合评分情况按照评审得分由高到低顺序推荐成交候选配送服务企业，并编写评审报告。若配送服务企业的评审得分相同的，按照抽签顺序排列推荐。</w:t>
      </w:r>
    </w:p>
    <w:p>
      <w:pPr>
        <w:spacing w:line="600" w:lineRule="exact"/>
        <w:ind w:firstLine="480" w:firstLineChars="200"/>
        <w:rPr>
          <w:rFonts w:ascii="宋体" w:cs="Times New Roman"/>
          <w:sz w:val="24"/>
          <w:szCs w:val="24"/>
        </w:rPr>
      </w:pPr>
      <w:r>
        <w:rPr>
          <w:rFonts w:hint="eastAsia" w:ascii="宋体" w:hAnsi="宋体" w:cs="宋体"/>
          <w:sz w:val="24"/>
          <w:szCs w:val="24"/>
        </w:rPr>
        <w:t>投标文件满足招标文件全部实质性要求，且按照评审因素的量化指标进行评审，得分最高的投标人为排名第一的中标候选人，其次为第二名，以此类推。</w:t>
      </w:r>
    </w:p>
    <w:p>
      <w:pPr>
        <w:snapToGrid w:val="0"/>
        <w:spacing w:line="600" w:lineRule="exact"/>
        <w:ind w:firstLine="480" w:firstLineChars="200"/>
        <w:rPr>
          <w:rFonts w:ascii="宋体" w:cs="宋体"/>
          <w:sz w:val="24"/>
          <w:szCs w:val="24"/>
        </w:rPr>
      </w:pPr>
      <w:r>
        <w:rPr>
          <w:rFonts w:ascii="宋体" w:hAnsi="宋体" w:cs="宋体"/>
          <w:sz w:val="24"/>
          <w:szCs w:val="24"/>
        </w:rPr>
        <w:t>4.</w:t>
      </w:r>
      <w:r>
        <w:rPr>
          <w:rFonts w:hint="eastAsia" w:ascii="宋体" w:cs="宋体"/>
          <w:sz w:val="24"/>
          <w:szCs w:val="24"/>
        </w:rPr>
        <w:t>根据评标标准，由评委进行综合打分，最终按照标包要求的定点入围企业数量确定中标候选人。</w:t>
      </w:r>
    </w:p>
    <w:p>
      <w:pPr>
        <w:snapToGrid w:val="0"/>
        <w:spacing w:line="360" w:lineRule="auto"/>
        <w:ind w:firstLine="482" w:firstLineChars="200"/>
        <w:rPr>
          <w:rFonts w:hint="eastAsia" w:ascii="宋体" w:eastAsia="宋体" w:cs="宋体"/>
          <w:b/>
          <w:color w:val="auto"/>
          <w:sz w:val="24"/>
          <w:szCs w:val="24"/>
          <w:lang w:eastAsia="zh-CN"/>
        </w:rPr>
      </w:pPr>
      <w:r>
        <w:rPr>
          <w:rFonts w:hint="eastAsia" w:ascii="宋体" w:cs="宋体"/>
          <w:b/>
          <w:color w:val="auto"/>
          <w:sz w:val="24"/>
          <w:szCs w:val="24"/>
        </w:rPr>
        <w:t>四、评标标准：</w:t>
      </w:r>
    </w:p>
    <w:tbl>
      <w:tblPr>
        <w:tblStyle w:val="25"/>
        <w:tblW w:w="8707" w:type="dxa"/>
        <w:jc w:val="center"/>
        <w:tblInd w:w="0" w:type="dxa"/>
        <w:tblLayout w:type="fixed"/>
        <w:tblCellMar>
          <w:top w:w="0" w:type="dxa"/>
          <w:left w:w="108" w:type="dxa"/>
          <w:bottom w:w="0" w:type="dxa"/>
          <w:right w:w="108" w:type="dxa"/>
        </w:tblCellMar>
      </w:tblPr>
      <w:tblGrid>
        <w:gridCol w:w="986"/>
        <w:gridCol w:w="1045"/>
        <w:gridCol w:w="641"/>
        <w:gridCol w:w="4038"/>
        <w:gridCol w:w="1997"/>
      </w:tblGrid>
      <w:tr>
        <w:tblPrEx>
          <w:tblLayout w:type="fixed"/>
          <w:tblCellMar>
            <w:top w:w="0" w:type="dxa"/>
            <w:left w:w="108" w:type="dxa"/>
            <w:bottom w:w="0" w:type="dxa"/>
            <w:right w:w="108" w:type="dxa"/>
          </w:tblCellMar>
        </w:tblPrEx>
        <w:trPr>
          <w:trHeight w:val="720"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sz w:val="22"/>
                <w:szCs w:val="22"/>
              </w:rPr>
            </w:pPr>
            <w:r>
              <w:rPr>
                <w:rFonts w:hint="eastAsia" w:ascii="宋体" w:hAnsi="宋体" w:cs="宋体"/>
                <w:b/>
                <w:bCs/>
                <w:sz w:val="22"/>
                <w:szCs w:val="22"/>
              </w:rPr>
              <w:t>评分类别</w:t>
            </w:r>
          </w:p>
        </w:tc>
        <w:tc>
          <w:tcPr>
            <w:tcW w:w="10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szCs w:val="22"/>
              </w:rPr>
            </w:pPr>
            <w:r>
              <w:rPr>
                <w:rFonts w:hint="eastAsia" w:ascii="宋体" w:hAnsi="宋体" w:cs="宋体"/>
                <w:b/>
                <w:bCs/>
                <w:sz w:val="22"/>
                <w:szCs w:val="22"/>
              </w:rPr>
              <w:t>评分因素</w:t>
            </w:r>
          </w:p>
        </w:tc>
        <w:tc>
          <w:tcPr>
            <w:tcW w:w="641"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szCs w:val="22"/>
              </w:rPr>
            </w:pPr>
            <w:r>
              <w:rPr>
                <w:rFonts w:hint="eastAsia" w:ascii="宋体" w:hAnsi="宋体" w:cs="宋体"/>
                <w:b/>
                <w:bCs/>
                <w:sz w:val="22"/>
                <w:szCs w:val="22"/>
              </w:rPr>
              <w:t>分值</w:t>
            </w:r>
          </w:p>
        </w:tc>
        <w:tc>
          <w:tcPr>
            <w:tcW w:w="403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szCs w:val="22"/>
              </w:rPr>
            </w:pPr>
            <w:r>
              <w:rPr>
                <w:rFonts w:hint="eastAsia" w:ascii="宋体" w:hAnsi="宋体" w:cs="宋体"/>
                <w:b/>
                <w:bCs/>
                <w:sz w:val="22"/>
                <w:szCs w:val="22"/>
              </w:rPr>
              <w:t>评分标准</w:t>
            </w:r>
          </w:p>
        </w:tc>
        <w:tc>
          <w:tcPr>
            <w:tcW w:w="1997"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sz w:val="22"/>
                <w:szCs w:val="22"/>
              </w:rPr>
            </w:pPr>
            <w:r>
              <w:rPr>
                <w:rFonts w:hint="eastAsia" w:ascii="宋体" w:hAnsi="宋体" w:cs="宋体"/>
                <w:b/>
                <w:bCs/>
                <w:sz w:val="22"/>
                <w:szCs w:val="22"/>
              </w:rPr>
              <w:t>备注</w:t>
            </w:r>
          </w:p>
        </w:tc>
      </w:tr>
      <w:tr>
        <w:tblPrEx>
          <w:tblLayout w:type="fixed"/>
          <w:tblCellMar>
            <w:top w:w="0" w:type="dxa"/>
            <w:left w:w="108" w:type="dxa"/>
            <w:bottom w:w="0" w:type="dxa"/>
            <w:right w:w="108" w:type="dxa"/>
          </w:tblCellMar>
        </w:tblPrEx>
        <w:trPr>
          <w:trHeight w:val="2038" w:hRule="atLeast"/>
          <w:jc w:val="center"/>
        </w:trPr>
        <w:tc>
          <w:tcPr>
            <w:tcW w:w="986" w:type="dxa"/>
            <w:vMerge w:val="restart"/>
            <w:tcBorders>
              <w:top w:val="nil"/>
              <w:left w:val="single" w:color="auto" w:sz="4" w:space="0"/>
              <w:bottom w:val="single" w:color="auto" w:sz="4" w:space="0"/>
              <w:right w:val="single" w:color="auto" w:sz="4" w:space="0"/>
            </w:tcBorders>
            <w:vAlign w:val="center"/>
          </w:tcPr>
          <w:p>
            <w:pPr>
              <w:rPr>
                <w:rFonts w:ascii="宋体" w:hAnsi="宋体" w:cs="宋体"/>
                <w:sz w:val="22"/>
                <w:szCs w:val="22"/>
              </w:rPr>
            </w:pPr>
            <w:r>
              <w:rPr>
                <w:rFonts w:hint="eastAsia" w:ascii="宋体" w:hAnsi="宋体" w:cs="宋体"/>
                <w:sz w:val="22"/>
                <w:szCs w:val="22"/>
              </w:rPr>
              <w:t>商务部分（66%）</w:t>
            </w: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仓储实力</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10</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投标人分拣场地及仓库面积在3000 ㎡及以上的得10分，不足3000㎡但大于2000㎡（含）的得7分，不足2000㎡但大于1000㎡（含）得4分，不足1000㎡但大于</w:t>
            </w:r>
            <w:r>
              <w:rPr>
                <w:rFonts w:ascii="宋体" w:hAnsi="宋体" w:cs="宋体"/>
                <w:sz w:val="22"/>
                <w:szCs w:val="22"/>
              </w:rPr>
              <w:t>5</w:t>
            </w:r>
            <w:r>
              <w:rPr>
                <w:rFonts w:hint="eastAsia" w:ascii="宋体" w:hAnsi="宋体" w:cs="宋体"/>
                <w:sz w:val="22"/>
                <w:szCs w:val="22"/>
              </w:rPr>
              <w:t>00㎡（含）得</w:t>
            </w:r>
            <w:r>
              <w:rPr>
                <w:rFonts w:ascii="宋体" w:hAnsi="宋体" w:cs="宋体"/>
                <w:sz w:val="22"/>
                <w:szCs w:val="22"/>
              </w:rPr>
              <w:t>2</w:t>
            </w:r>
            <w:r>
              <w:rPr>
                <w:rFonts w:hint="eastAsia" w:ascii="宋体" w:hAnsi="宋体" w:cs="宋体"/>
                <w:sz w:val="22"/>
                <w:szCs w:val="22"/>
              </w:rPr>
              <w:t>分，不足</w:t>
            </w:r>
            <w:r>
              <w:rPr>
                <w:rFonts w:ascii="宋体" w:hAnsi="宋体" w:cs="宋体"/>
                <w:sz w:val="22"/>
                <w:szCs w:val="22"/>
              </w:rPr>
              <w:t>500</w:t>
            </w:r>
            <w:r>
              <w:rPr>
                <w:rFonts w:hint="eastAsia" w:ascii="宋体" w:hAnsi="宋体" w:cs="宋体"/>
                <w:sz w:val="22"/>
                <w:szCs w:val="22"/>
              </w:rPr>
              <w:t>㎡的得</w:t>
            </w:r>
            <w:r>
              <w:rPr>
                <w:rFonts w:ascii="宋体" w:hAnsi="宋体" w:cs="宋体"/>
                <w:sz w:val="22"/>
                <w:szCs w:val="22"/>
              </w:rPr>
              <w:t>0</w:t>
            </w:r>
            <w:r>
              <w:rPr>
                <w:rFonts w:hint="eastAsia" w:ascii="宋体" w:hAnsi="宋体" w:cs="宋体"/>
                <w:sz w:val="22"/>
                <w:szCs w:val="22"/>
              </w:rPr>
              <w:t>分。</w:t>
            </w:r>
          </w:p>
        </w:tc>
        <w:tc>
          <w:tcPr>
            <w:tcW w:w="1997"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1、提供有效产权证明复印件或者有效租赁复印件，加盖鲜章（原件备查）。</w:t>
            </w:r>
          </w:p>
        </w:tc>
      </w:tr>
      <w:tr>
        <w:tblPrEx>
          <w:tblLayout w:type="fixed"/>
          <w:tblCellMar>
            <w:top w:w="0" w:type="dxa"/>
            <w:left w:w="108" w:type="dxa"/>
            <w:bottom w:w="0" w:type="dxa"/>
            <w:right w:w="108" w:type="dxa"/>
          </w:tblCellMar>
        </w:tblPrEx>
        <w:trPr>
          <w:trHeight w:val="855"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车辆实力</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10</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投标人具备自有或租赁配送车辆，配送车辆数量累计在10辆及以上的得10分，9辆-6辆的得7分，5辆-2辆的得5分，1辆及以下的得0分。</w:t>
            </w:r>
          </w:p>
        </w:tc>
        <w:tc>
          <w:tcPr>
            <w:tcW w:w="1997"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1、配送车辆（必须提供《行驶证》复印件，租赁的须提供有效租赁合同复印件（租赁合同原件备查）。</w:t>
            </w:r>
          </w:p>
        </w:tc>
      </w:tr>
      <w:tr>
        <w:tblPrEx>
          <w:tblLayout w:type="fixed"/>
          <w:tblCellMar>
            <w:top w:w="0" w:type="dxa"/>
            <w:left w:w="108" w:type="dxa"/>
            <w:bottom w:w="0" w:type="dxa"/>
            <w:right w:w="108" w:type="dxa"/>
          </w:tblCellMar>
        </w:tblPrEx>
        <w:trPr>
          <w:trHeight w:val="495"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服务人员</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9</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投标人参与本项目组的服务人员每有一人得0.5分，最多9分。</w:t>
            </w:r>
          </w:p>
        </w:tc>
        <w:tc>
          <w:tcPr>
            <w:tcW w:w="1997"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提供社保证明，加盖鲜章。</w:t>
            </w:r>
          </w:p>
        </w:tc>
      </w:tr>
      <w:tr>
        <w:tblPrEx>
          <w:tblLayout w:type="fixed"/>
          <w:tblCellMar>
            <w:top w:w="0" w:type="dxa"/>
            <w:left w:w="108" w:type="dxa"/>
            <w:bottom w:w="0" w:type="dxa"/>
            <w:right w:w="108" w:type="dxa"/>
          </w:tblCellMar>
        </w:tblPrEx>
        <w:trPr>
          <w:trHeight w:val="900"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专业经验与业绩</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20</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2017年1月1日开始，具有大中小学校相应分包内容配送服务业绩，提供1个业绩得2分；</w:t>
            </w:r>
          </w:p>
          <w:p>
            <w:pPr>
              <w:rPr>
                <w:rFonts w:ascii="宋体" w:hAnsi="宋体" w:cs="宋体"/>
                <w:sz w:val="22"/>
                <w:szCs w:val="22"/>
              </w:rPr>
            </w:pPr>
            <w:r>
              <w:rPr>
                <w:rFonts w:hint="eastAsia" w:ascii="宋体" w:hAnsi="宋体" w:cs="宋体"/>
                <w:sz w:val="22"/>
                <w:szCs w:val="22"/>
              </w:rPr>
              <w:t>提供机关、企事业单位相应分包内容配送服务业绩，提供1个业绩得1分；</w:t>
            </w:r>
          </w:p>
          <w:p>
            <w:pPr>
              <w:rPr>
                <w:rFonts w:ascii="宋体" w:hAnsi="宋体" w:cs="宋体"/>
                <w:sz w:val="22"/>
                <w:szCs w:val="22"/>
              </w:rPr>
            </w:pPr>
            <w:r>
              <w:rPr>
                <w:rFonts w:hint="eastAsia" w:ascii="宋体" w:hAnsi="宋体" w:cs="宋体"/>
                <w:sz w:val="22"/>
                <w:szCs w:val="22"/>
              </w:rPr>
              <w:t>本项最高20分。</w:t>
            </w:r>
          </w:p>
        </w:tc>
        <w:tc>
          <w:tcPr>
            <w:tcW w:w="1997"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提供加盖投标人鲜章的合同复印件（原件备查）。</w:t>
            </w:r>
          </w:p>
        </w:tc>
      </w:tr>
      <w:tr>
        <w:tblPrEx>
          <w:tblLayout w:type="fixed"/>
          <w:tblCellMar>
            <w:top w:w="0" w:type="dxa"/>
            <w:left w:w="108" w:type="dxa"/>
            <w:bottom w:w="0" w:type="dxa"/>
            <w:right w:w="108" w:type="dxa"/>
          </w:tblCellMar>
        </w:tblPrEx>
        <w:trPr>
          <w:trHeight w:val="1785"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食品安全</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12</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1.投标人使用食品追溯体系电子平台，所有配送食材来源可追溯，提供合格证书、检疫证明和蔬菜农残检测报告等，得3分。</w:t>
            </w:r>
          </w:p>
          <w:p>
            <w:pPr>
              <w:rPr>
                <w:rFonts w:ascii="宋体" w:hAnsi="宋体" w:cs="宋体"/>
                <w:sz w:val="22"/>
                <w:szCs w:val="22"/>
              </w:rPr>
            </w:pPr>
            <w:r>
              <w:rPr>
                <w:rFonts w:hint="eastAsia" w:ascii="宋体" w:hAnsi="宋体" w:cs="宋体"/>
                <w:sz w:val="22"/>
                <w:szCs w:val="22"/>
              </w:rPr>
              <w:t>2.投标人购买食品安全保险得3分。</w:t>
            </w:r>
          </w:p>
          <w:p>
            <w:pPr>
              <w:rPr>
                <w:rFonts w:ascii="宋体" w:hAnsi="宋体" w:cs="宋体"/>
                <w:sz w:val="22"/>
                <w:szCs w:val="22"/>
              </w:rPr>
            </w:pPr>
            <w:r>
              <w:rPr>
                <w:rFonts w:hint="eastAsia" w:ascii="宋体" w:hAnsi="宋体" w:cs="宋体"/>
                <w:sz w:val="22"/>
                <w:szCs w:val="22"/>
              </w:rPr>
              <w:t>3.投标单位至少1名职工具备食品检验员（工）资格证或具备相应培训证明或相关专业学历证明，得3分。</w:t>
            </w:r>
          </w:p>
          <w:p>
            <w:pPr>
              <w:rPr>
                <w:rFonts w:ascii="宋体" w:hAnsi="宋体" w:cs="宋体"/>
                <w:sz w:val="22"/>
                <w:szCs w:val="22"/>
              </w:rPr>
            </w:pPr>
            <w:r>
              <w:rPr>
                <w:rFonts w:hint="eastAsia" w:ascii="宋体" w:hAnsi="宋体" w:cs="宋体"/>
                <w:sz w:val="22"/>
                <w:szCs w:val="22"/>
              </w:rPr>
              <w:t>4.投标人至少具备食品检测设备1台，得3分。</w:t>
            </w:r>
          </w:p>
        </w:tc>
        <w:tc>
          <w:tcPr>
            <w:tcW w:w="1997"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1、自行开发追溯平台，提供软著证书复印件；购买或租用提供合作协议复印件。2、提供食品安全保险单及发票。3、食品检验员资格证或具备相应培训证明或相关专业学历证明及近期社保缴纳证明。4、提供食品检测设备发票。</w:t>
            </w:r>
          </w:p>
        </w:tc>
      </w:tr>
      <w:tr>
        <w:tblPrEx>
          <w:tblLayout w:type="fixed"/>
          <w:tblCellMar>
            <w:top w:w="0" w:type="dxa"/>
            <w:left w:w="108" w:type="dxa"/>
            <w:bottom w:w="0" w:type="dxa"/>
            <w:right w:w="108" w:type="dxa"/>
          </w:tblCellMar>
        </w:tblPrEx>
        <w:trPr>
          <w:trHeight w:val="499"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企业荣誉</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5</w:t>
            </w:r>
          </w:p>
        </w:tc>
        <w:tc>
          <w:tcPr>
            <w:tcW w:w="4038" w:type="dxa"/>
            <w:tcBorders>
              <w:top w:val="nil"/>
              <w:left w:val="nil"/>
              <w:bottom w:val="single" w:color="auto" w:sz="4" w:space="0"/>
              <w:right w:val="single" w:color="auto" w:sz="4" w:space="0"/>
            </w:tcBorders>
            <w:shd w:val="clear" w:color="auto" w:fill="auto"/>
            <w:vAlign w:val="center"/>
          </w:tcPr>
          <w:p>
            <w:pPr>
              <w:jc w:val="both"/>
              <w:rPr>
                <w:rFonts w:ascii="宋体" w:hAnsi="宋体" w:cs="宋体"/>
                <w:sz w:val="22"/>
                <w:szCs w:val="22"/>
              </w:rPr>
            </w:pPr>
            <w:r>
              <w:rPr>
                <w:rFonts w:hint="eastAsia" w:ascii="宋体" w:hAnsi="宋体" w:cs="宋体"/>
                <w:sz w:val="22"/>
                <w:szCs w:val="22"/>
              </w:rPr>
              <w:t>获得市级及以上政府及相关部门或行业协会颁发的荣誉称号，得5分。</w:t>
            </w:r>
          </w:p>
        </w:tc>
        <w:tc>
          <w:tcPr>
            <w:tcW w:w="1997"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提供荣誉证书相关联的证明材料复印件,原件备查。</w:t>
            </w:r>
          </w:p>
        </w:tc>
      </w:tr>
      <w:tr>
        <w:tblPrEx>
          <w:tblLayout w:type="fixed"/>
          <w:tblCellMar>
            <w:top w:w="0" w:type="dxa"/>
            <w:left w:w="108" w:type="dxa"/>
            <w:bottom w:w="0" w:type="dxa"/>
            <w:right w:w="108" w:type="dxa"/>
          </w:tblCellMar>
        </w:tblPrEx>
        <w:trPr>
          <w:trHeight w:val="1335" w:hRule="atLeast"/>
          <w:jc w:val="center"/>
        </w:trPr>
        <w:tc>
          <w:tcPr>
            <w:tcW w:w="98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技术部分（34%）</w:t>
            </w: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服务方案</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10</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投标人针对本项目编制方案，按照方案的可操作性、适用性、完整性等进行评分，分为A（优）、B（良）、C（中）、D（差）四等级打分，A=8-10分，B=7-5分，C=4-2分，D=0-1分，若等级相同，则进行横向对比，无描述不得分。</w:t>
            </w:r>
          </w:p>
        </w:tc>
        <w:tc>
          <w:tcPr>
            <w:tcW w:w="199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提供方案文本原件</w:t>
            </w:r>
          </w:p>
        </w:tc>
      </w:tr>
      <w:tr>
        <w:tblPrEx>
          <w:tblLayout w:type="fixed"/>
          <w:tblCellMar>
            <w:top w:w="0" w:type="dxa"/>
            <w:left w:w="108" w:type="dxa"/>
            <w:bottom w:w="0" w:type="dxa"/>
            <w:right w:w="108" w:type="dxa"/>
          </w:tblCellMar>
        </w:tblPrEx>
        <w:trPr>
          <w:trHeight w:val="1170"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食品质量安全保证措施方案</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10</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投标人针对本项目编制方案，按照方案的可操作性、适用性、完整性等进行评分，分为A（优）、B（良）、C（中）、D（差）四等级打分，A=8-10分，B=7-5分，C=4-2分，D=0-1分，若等级相同，则进行横向对比，无描述不得分。</w:t>
            </w:r>
          </w:p>
        </w:tc>
        <w:tc>
          <w:tcPr>
            <w:tcW w:w="199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提供方案文本原件</w:t>
            </w:r>
          </w:p>
        </w:tc>
      </w:tr>
      <w:tr>
        <w:tblPrEx>
          <w:tblLayout w:type="fixed"/>
          <w:tblCellMar>
            <w:top w:w="0" w:type="dxa"/>
            <w:left w:w="108" w:type="dxa"/>
            <w:bottom w:w="0" w:type="dxa"/>
            <w:right w:w="108" w:type="dxa"/>
          </w:tblCellMar>
        </w:tblPrEx>
        <w:trPr>
          <w:trHeight w:val="1245"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应急处理方案</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10</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投标人针对本项目编制方案，按照方案的可操作性、适用性、完整性等进行评分，分为A（优）、B（良）、C（中）、D（差）四等级打分，A=3-4分，B=2-3分，C=1-2分，D=0-1分，若等级相同，则进行横向对比，无描述不得分。</w:t>
            </w:r>
          </w:p>
        </w:tc>
        <w:tc>
          <w:tcPr>
            <w:tcW w:w="199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提供方案文本原件</w:t>
            </w:r>
          </w:p>
        </w:tc>
      </w:tr>
      <w:tr>
        <w:tblPrEx>
          <w:tblLayout w:type="fixed"/>
          <w:tblCellMar>
            <w:top w:w="0" w:type="dxa"/>
            <w:left w:w="108" w:type="dxa"/>
            <w:bottom w:w="0" w:type="dxa"/>
            <w:right w:w="108" w:type="dxa"/>
          </w:tblCellMar>
        </w:tblPrEx>
        <w:trPr>
          <w:trHeight w:val="1425" w:hRule="atLeast"/>
          <w:jc w:val="center"/>
        </w:trPr>
        <w:tc>
          <w:tcPr>
            <w:tcW w:w="986"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2"/>
                <w:szCs w:val="22"/>
              </w:rPr>
            </w:pPr>
          </w:p>
        </w:tc>
        <w:tc>
          <w:tcPr>
            <w:tcW w:w="1045"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廉政风险防控方案</w:t>
            </w:r>
          </w:p>
        </w:tc>
        <w:tc>
          <w:tcPr>
            <w:tcW w:w="64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4</w:t>
            </w:r>
          </w:p>
        </w:tc>
        <w:tc>
          <w:tcPr>
            <w:tcW w:w="4038" w:type="dxa"/>
            <w:tcBorders>
              <w:top w:val="nil"/>
              <w:left w:val="nil"/>
              <w:bottom w:val="single" w:color="auto" w:sz="4" w:space="0"/>
              <w:right w:val="single" w:color="auto" w:sz="4" w:space="0"/>
            </w:tcBorders>
            <w:shd w:val="clear" w:color="auto" w:fill="auto"/>
            <w:vAlign w:val="center"/>
          </w:tcPr>
          <w:p>
            <w:pPr>
              <w:rPr>
                <w:rFonts w:ascii="宋体" w:hAnsi="宋体" w:cs="宋体"/>
                <w:sz w:val="22"/>
                <w:szCs w:val="22"/>
              </w:rPr>
            </w:pPr>
            <w:r>
              <w:rPr>
                <w:rFonts w:hint="eastAsia" w:ascii="宋体" w:hAnsi="宋体" w:cs="宋体"/>
                <w:sz w:val="22"/>
                <w:szCs w:val="22"/>
              </w:rPr>
              <w:t>投标人针对本项目编制方案，按照方案的可操作性、适用性、完整性等进行评分，分为A（优）、B（良）、C（中）、D（差）四等级打分，A=3-4分，B=2-3分，C=1-2分，D=0-1分，若等级相同，则进行横向对比，无描述不得分。</w:t>
            </w:r>
          </w:p>
        </w:tc>
        <w:tc>
          <w:tcPr>
            <w:tcW w:w="199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2"/>
                <w:szCs w:val="22"/>
              </w:rPr>
            </w:pPr>
            <w:r>
              <w:rPr>
                <w:rFonts w:hint="eastAsia" w:ascii="宋体" w:hAnsi="宋体" w:cs="宋体"/>
                <w:sz w:val="22"/>
                <w:szCs w:val="22"/>
              </w:rPr>
              <w:t>提供方案文本原件</w:t>
            </w:r>
          </w:p>
        </w:tc>
      </w:tr>
    </w:tbl>
    <w:p>
      <w:pPr>
        <w:snapToGrid w:val="0"/>
        <w:spacing w:line="360" w:lineRule="auto"/>
        <w:rPr>
          <w:rFonts w:ascii="宋体" w:cs="Times New Roman"/>
          <w:sz w:val="24"/>
          <w:szCs w:val="24"/>
        </w:rPr>
      </w:pPr>
    </w:p>
    <w:p>
      <w:pPr>
        <w:snapToGrid w:val="0"/>
        <w:spacing w:line="600" w:lineRule="exact"/>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五、中标通知书：</w:t>
      </w:r>
    </w:p>
    <w:p>
      <w:pPr>
        <w:snapToGrid w:val="0"/>
        <w:spacing w:line="600" w:lineRule="exact"/>
        <w:ind w:firstLine="400" w:firstLineChars="167"/>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依法确定中标配送服务企业后，招标人以书面形式发出中标通知书。</w:t>
      </w:r>
    </w:p>
    <w:p>
      <w:pPr>
        <w:snapToGrid w:val="0"/>
        <w:spacing w:line="600" w:lineRule="exact"/>
        <w:ind w:firstLine="400" w:firstLineChars="167"/>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中标通知书发出后，招标人改变中标结果，或者中标配送服务企业放弃，应当承担相应的法律责任。</w:t>
      </w:r>
    </w:p>
    <w:p>
      <w:pPr>
        <w:spacing w:line="600" w:lineRule="exact"/>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六、招标终止：</w:t>
      </w:r>
    </w:p>
    <w:p>
      <w:pPr>
        <w:snapToGrid w:val="0"/>
        <w:spacing w:line="600" w:lineRule="exact"/>
        <w:ind w:firstLine="465"/>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出现下列情形之一的，招标人应当终止本次评标采购活动，发布项目终止公告并说明原因，重新开展采购活动：</w:t>
      </w:r>
    </w:p>
    <w:p>
      <w:pPr>
        <w:snapToGrid w:val="0"/>
        <w:spacing w:line="600" w:lineRule="exact"/>
        <w:ind w:firstLine="465"/>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6.1</w:t>
      </w:r>
      <w:r>
        <w:rPr>
          <w:rFonts w:hint="eastAsia" w:cs="宋体" w:asciiTheme="minorEastAsia" w:hAnsiTheme="minorEastAsia" w:eastAsiaTheme="minorEastAsia"/>
          <w:sz w:val="24"/>
          <w:szCs w:val="24"/>
        </w:rPr>
        <w:t>因情况变化，不再符合规定的评标采购方式适用情形的；</w:t>
      </w:r>
    </w:p>
    <w:p>
      <w:pPr>
        <w:snapToGrid w:val="0"/>
        <w:spacing w:line="600" w:lineRule="exact"/>
        <w:ind w:firstLine="465"/>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6.2</w:t>
      </w:r>
      <w:r>
        <w:rPr>
          <w:rFonts w:hint="eastAsia" w:cs="宋体" w:asciiTheme="minorEastAsia" w:hAnsiTheme="minorEastAsia" w:eastAsiaTheme="minorEastAsia"/>
          <w:sz w:val="24"/>
          <w:szCs w:val="24"/>
        </w:rPr>
        <w:t>出现影响采购公正的违法、违规行为的；</w:t>
      </w:r>
    </w:p>
    <w:p>
      <w:pPr>
        <w:snapToGrid w:val="0"/>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6.3</w:t>
      </w:r>
      <w:r>
        <w:rPr>
          <w:rFonts w:hint="eastAsia" w:cs="宋体" w:asciiTheme="minorEastAsia" w:hAnsiTheme="minorEastAsia" w:eastAsiaTheme="minorEastAsia"/>
          <w:sz w:val="24"/>
          <w:szCs w:val="24"/>
        </w:rPr>
        <w:t>符合专业条件的配送服务企业或者对评标文件作实质响应的配送服务企业不足三家的。</w:t>
      </w:r>
    </w:p>
    <w:p>
      <w:pPr>
        <w:spacing w:line="600" w:lineRule="exact"/>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七、投标文件的废除</w:t>
      </w:r>
    </w:p>
    <w:p>
      <w:pPr>
        <w:spacing w:line="600" w:lineRule="exact"/>
        <w:ind w:firstLine="542" w:firstLineChars="225"/>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招标采购中，出现下列情形之一的，配送服务企业或其响应文件出现下列情况之一者，应为无效投标，予以废除：</w:t>
      </w:r>
    </w:p>
    <w:p>
      <w:pPr>
        <w:spacing w:line="600" w:lineRule="exact"/>
        <w:ind w:left="284" w:leftChars="142"/>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未按照招标文件规定要求密封的；</w:t>
      </w:r>
    </w:p>
    <w:p>
      <w:pPr>
        <w:snapToGrid w:val="0"/>
        <w:spacing w:line="600" w:lineRule="exact"/>
        <w:ind w:left="284" w:leftChars="142"/>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配送服务企业不符合规定的基本资格条件或特殊资格条件的；</w:t>
      </w:r>
    </w:p>
    <w:p>
      <w:pPr>
        <w:snapToGrid w:val="0"/>
        <w:spacing w:line="600" w:lineRule="exact"/>
        <w:ind w:left="284" w:leftChars="142"/>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配送服务企业的法定代表人或其授权代表未参加评标；</w:t>
      </w:r>
    </w:p>
    <w:p>
      <w:pPr>
        <w:snapToGrid w:val="0"/>
        <w:spacing w:line="600" w:lineRule="exact"/>
        <w:ind w:left="284" w:leftChars="142"/>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配送服务企业未按照招标文件的要求缴纳评标保证金；</w:t>
      </w:r>
    </w:p>
    <w:p>
      <w:pPr>
        <w:snapToGrid w:val="0"/>
        <w:spacing w:line="600" w:lineRule="exact"/>
        <w:ind w:left="284" w:leftChars="142"/>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配送服务企业所提交的响应文件不按规定签字、盖章；</w:t>
      </w:r>
    </w:p>
    <w:p>
      <w:pPr>
        <w:spacing w:line="600" w:lineRule="exact"/>
        <w:ind w:left="284" w:leftChars="142"/>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配送服务企业的承诺书不满足评标文件要求，实质性不满足招标文件的技术要求的；</w:t>
      </w:r>
    </w:p>
    <w:p>
      <w:pPr>
        <w:spacing w:line="600" w:lineRule="exact"/>
        <w:ind w:firstLine="283" w:firstLineChars="118"/>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7</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法定代表人为同一个人的两个及两个以上法人，母公司、全资子公司及其控股公司，在投标中同时参与评标；</w:t>
      </w:r>
    </w:p>
    <w:p>
      <w:pPr>
        <w:snapToGrid w:val="0"/>
        <w:spacing w:line="600" w:lineRule="exact"/>
        <w:ind w:left="-22" w:leftChars="-11" w:firstLine="304" w:firstLineChars="127"/>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8.</w:t>
      </w:r>
      <w:r>
        <w:rPr>
          <w:rFonts w:hint="eastAsia" w:cs="宋体" w:asciiTheme="minorEastAsia" w:hAnsiTheme="minorEastAsia" w:eastAsiaTheme="minorEastAsia"/>
          <w:sz w:val="24"/>
          <w:szCs w:val="24"/>
        </w:rPr>
        <w:t>单位负责人为同一人或者存在直接控股、管理关系的不同配送服务企业，参加同一合同项下的投标活动的；</w:t>
      </w:r>
    </w:p>
    <w:p>
      <w:pPr>
        <w:snapToGrid w:val="0"/>
        <w:spacing w:line="600" w:lineRule="exact"/>
        <w:ind w:left="-142" w:leftChars="-71" w:firstLine="400" w:firstLineChars="167"/>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9.</w:t>
      </w:r>
      <w:r>
        <w:rPr>
          <w:rFonts w:hint="eastAsia" w:cs="宋体" w:asciiTheme="minorEastAsia" w:hAnsiTheme="minorEastAsia" w:eastAsiaTheme="minorEastAsia"/>
          <w:sz w:val="24"/>
          <w:szCs w:val="24"/>
        </w:rPr>
        <w:t>为投标项目提供整体设计、规范编制或者项目管理、监理、检测等服务的配送服务企业，再参加该投标项目的其他投标活动；</w:t>
      </w:r>
    </w:p>
    <w:p>
      <w:pPr>
        <w:snapToGrid w:val="0"/>
        <w:spacing w:line="600" w:lineRule="exact"/>
        <w:ind w:left="-142" w:leftChars="-71" w:firstLine="400" w:firstLineChars="167"/>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10.</w:t>
      </w:r>
      <w:r>
        <w:rPr>
          <w:rFonts w:hint="eastAsia" w:cs="宋体" w:asciiTheme="minorEastAsia" w:hAnsiTheme="minorEastAsia" w:eastAsiaTheme="minorEastAsia"/>
          <w:sz w:val="24"/>
          <w:szCs w:val="24"/>
        </w:rPr>
        <w:t>配送服务企业响应文件内容有与国家现行法律法规相违背的内容，或附有招标人无法接受的条件，出现影响采购公正的违法、违规行为的，不符合法律、法规和招标文件中规定的其它实质性要求的。</w:t>
      </w:r>
    </w:p>
    <w:p>
      <w:pPr>
        <w:spacing w:line="600" w:lineRule="exact"/>
        <w:ind w:firstLine="364" w:firstLineChars="151"/>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八、配送服务企业需要注意的其它事项</w:t>
      </w:r>
    </w:p>
    <w:p>
      <w:pPr>
        <w:spacing w:line="600" w:lineRule="exact"/>
        <w:ind w:firstLine="472" w:firstLineChars="196"/>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1.</w:t>
      </w:r>
      <w:r>
        <w:rPr>
          <w:rFonts w:hint="eastAsia" w:cs="宋体" w:asciiTheme="minorEastAsia" w:hAnsiTheme="minorEastAsia" w:eastAsiaTheme="minorEastAsia"/>
          <w:b/>
          <w:bCs/>
          <w:sz w:val="24"/>
          <w:szCs w:val="24"/>
        </w:rPr>
        <w:t>配送服务企业注意事项</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1.1</w:t>
      </w:r>
      <w:r>
        <w:rPr>
          <w:rFonts w:hint="eastAsia" w:cs="宋体" w:asciiTheme="minorEastAsia" w:hAnsiTheme="minorEastAsia" w:eastAsiaTheme="minorEastAsia"/>
          <w:sz w:val="24"/>
          <w:szCs w:val="24"/>
        </w:rPr>
        <w:t>配送服务企业须由法定代表人或其代理人参加招标，法定代表人委托代理人参加</w:t>
      </w:r>
      <w:bookmarkStart w:id="17" w:name="page10"/>
      <w:bookmarkEnd w:id="17"/>
      <w:r>
        <w:rPr>
          <w:rFonts w:hint="eastAsia" w:cs="宋体" w:asciiTheme="minorEastAsia" w:hAnsiTheme="minorEastAsia" w:eastAsiaTheme="minorEastAsia"/>
          <w:sz w:val="24"/>
          <w:szCs w:val="24"/>
        </w:rPr>
        <w:t>投标必须提供法定代表人授权委托书（原件）和代理人身份证（复印件）。随时接受评审委员会的询问并参与报价。</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1.2 </w:t>
      </w:r>
      <w:r>
        <w:rPr>
          <w:rFonts w:hint="eastAsia" w:cs="宋体" w:asciiTheme="minorEastAsia" w:hAnsiTheme="minorEastAsia" w:eastAsiaTheme="minorEastAsia"/>
          <w:sz w:val="24"/>
          <w:szCs w:val="24"/>
        </w:rPr>
        <w:t>配送服务企业应遵守有关法律、法规，不得采取不正当的竞争手段，否则，其后果由配送服务企业自负。</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1.3 </w:t>
      </w:r>
      <w:r>
        <w:rPr>
          <w:rFonts w:hint="eastAsia" w:cs="宋体" w:asciiTheme="minorEastAsia" w:hAnsiTheme="minorEastAsia" w:eastAsiaTheme="minorEastAsia"/>
          <w:sz w:val="24"/>
          <w:szCs w:val="24"/>
        </w:rPr>
        <w:t>在评审会直至宣布结果之前，配送服务企业不得向评审专家询问评审情况，不得进行旨在影响中标结果的活动，否则，其响应文件无效并追究法律责任。</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1.4 </w:t>
      </w:r>
      <w:r>
        <w:rPr>
          <w:rFonts w:hint="eastAsia" w:cs="宋体" w:asciiTheme="minorEastAsia" w:hAnsiTheme="minorEastAsia" w:eastAsiaTheme="minorEastAsia"/>
          <w:sz w:val="24"/>
          <w:szCs w:val="24"/>
        </w:rPr>
        <w:t>配送服务企业的提交的资料一律不予退还。</w:t>
      </w:r>
    </w:p>
    <w:p>
      <w:pPr>
        <w:snapToGrid w:val="0"/>
        <w:spacing w:line="600" w:lineRule="exact"/>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1.5投标人必须在投标文件中对以上条款和服务承诺明确列出，承诺内容必须达到本篇及招标文件其他条款的要求。</w:t>
      </w:r>
    </w:p>
    <w:p>
      <w:pPr>
        <w:snapToGrid w:val="0"/>
        <w:spacing w:line="600" w:lineRule="exact"/>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1.6其他未尽事宜由供需双方在采购合同中详细约定。投标人须在投标文件中做出书面承诺，承诺在采购合同约定中不得无故提出招标人不能接受的无理条款（格式自拟），否则投标性评审不予通过，按废标处理。 </w:t>
      </w:r>
    </w:p>
    <w:p>
      <w:pPr>
        <w:snapToGrid w:val="0"/>
        <w:spacing w:line="600" w:lineRule="exact"/>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1.7如有弄虚作假，一经查实，取消其投标资格，并上报有关部门对其进行处罚，三年内不得参与</w:t>
      </w:r>
      <w:r>
        <w:rPr>
          <w:rFonts w:hint="eastAsia" w:cs="宋体" w:asciiTheme="minorEastAsia" w:hAnsiTheme="minorEastAsia" w:eastAsiaTheme="minorEastAsia"/>
          <w:color w:val="000000"/>
          <w:sz w:val="24"/>
          <w:szCs w:val="24"/>
          <w:lang w:eastAsia="zh-CN"/>
        </w:rPr>
        <w:t>重庆商务职业学院</w:t>
      </w:r>
      <w:r>
        <w:rPr>
          <w:rFonts w:hint="eastAsia" w:cs="宋体" w:asciiTheme="minorEastAsia" w:hAnsiTheme="minorEastAsia" w:eastAsiaTheme="minorEastAsia"/>
          <w:color w:val="000000"/>
          <w:sz w:val="24"/>
          <w:szCs w:val="24"/>
        </w:rPr>
        <w:t>采购活动。</w:t>
      </w:r>
    </w:p>
    <w:p>
      <w:pPr>
        <w:snapToGrid w:val="0"/>
        <w:spacing w:line="600" w:lineRule="exact"/>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1.8中标后，中标人与招标人须签订框架合同后才能为学校食堂供货。</w:t>
      </w:r>
      <w:bookmarkStart w:id="18" w:name="_Toc1427"/>
    </w:p>
    <w:p>
      <w:pPr>
        <w:snapToGrid w:val="0"/>
        <w:spacing w:line="600" w:lineRule="exact"/>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1.9中标人在供货过程中应严格遵守相关法律、法规及廉洁要求，不得有任何违反相关法律、法规及廉洁规定的行为发生，一经查实，取消其入围配送服务企业资格。</w:t>
      </w:r>
      <w:bookmarkEnd w:id="18"/>
    </w:p>
    <w:p>
      <w:pPr>
        <w:spacing w:line="600" w:lineRule="exact"/>
        <w:ind w:firstLine="360" w:firstLineChars="150"/>
        <w:rPr>
          <w:rFonts w:cs="Times New Roman" w:asciiTheme="minorEastAsia" w:hAnsiTheme="minorEastAsia" w:eastAsiaTheme="minorEastAsia"/>
          <w:b/>
          <w:bCs/>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10本招标招标文件的未尽事项，按现行的有关法律、法规及规章执行。</w:t>
      </w:r>
    </w:p>
    <w:p>
      <w:pPr>
        <w:spacing w:line="600" w:lineRule="exact"/>
        <w:ind w:left="480"/>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2.</w:t>
      </w:r>
      <w:r>
        <w:rPr>
          <w:rFonts w:hint="eastAsia" w:cs="宋体" w:asciiTheme="minorEastAsia" w:hAnsiTheme="minorEastAsia" w:eastAsiaTheme="minorEastAsia"/>
          <w:b/>
          <w:bCs/>
          <w:sz w:val="24"/>
          <w:szCs w:val="24"/>
        </w:rPr>
        <w:t>投标保证金</w:t>
      </w:r>
    </w:p>
    <w:p>
      <w:pPr>
        <w:spacing w:line="600" w:lineRule="exact"/>
        <w:ind w:firstLine="499" w:firstLineChars="208"/>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2.1 </w:t>
      </w:r>
      <w:r>
        <w:rPr>
          <w:rFonts w:hint="eastAsia" w:cs="宋体" w:asciiTheme="minorEastAsia" w:hAnsiTheme="minorEastAsia" w:eastAsiaTheme="minorEastAsia"/>
          <w:sz w:val="24"/>
          <w:szCs w:val="24"/>
        </w:rPr>
        <w:t>配送服务企业在招标前，必须以人民币提交招标文件规定数额的保证金，并作为其</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响应文件的一部分。</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2.2 </w:t>
      </w:r>
      <w:r>
        <w:rPr>
          <w:rFonts w:hint="eastAsia" w:cs="宋体" w:asciiTheme="minorEastAsia" w:hAnsiTheme="minorEastAsia" w:eastAsiaTheme="minorEastAsia"/>
          <w:sz w:val="24"/>
          <w:szCs w:val="24"/>
        </w:rPr>
        <w:t>未按招标文件要求在规定时间前交纳规定数额保证金的响应文件将被拒绝。</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2.3 </w:t>
      </w:r>
      <w:r>
        <w:rPr>
          <w:rFonts w:hint="eastAsia" w:cs="宋体" w:asciiTheme="minorEastAsia" w:hAnsiTheme="minorEastAsia" w:eastAsiaTheme="minorEastAsia"/>
          <w:sz w:val="24"/>
          <w:szCs w:val="24"/>
        </w:rPr>
        <w:t>配送服务企业所交纳的保证金不计利息。</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2.4 </w:t>
      </w:r>
      <w:r>
        <w:rPr>
          <w:rFonts w:hint="eastAsia" w:cs="宋体" w:asciiTheme="minorEastAsia" w:hAnsiTheme="minorEastAsia" w:eastAsiaTheme="minorEastAsia"/>
          <w:sz w:val="24"/>
          <w:szCs w:val="24"/>
        </w:rPr>
        <w:t>招标人应当自中标通知书发出之后</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个工作日内退还所有非中标配送服务企业交纳的保证金。</w:t>
      </w:r>
    </w:p>
    <w:p>
      <w:pPr>
        <w:spacing w:line="600" w:lineRule="exact"/>
        <w:ind w:firstLine="472" w:firstLineChars="196"/>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3.</w:t>
      </w:r>
      <w:r>
        <w:rPr>
          <w:rFonts w:hint="eastAsia" w:cs="宋体" w:asciiTheme="minorEastAsia" w:hAnsiTheme="minorEastAsia" w:eastAsiaTheme="minorEastAsia"/>
          <w:b/>
          <w:bCs/>
          <w:sz w:val="24"/>
          <w:szCs w:val="24"/>
        </w:rPr>
        <w:t>发生下列情形之一的，将不予退还配送服务企业交纳的投标保证金</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3.1 </w:t>
      </w:r>
      <w:r>
        <w:rPr>
          <w:rFonts w:hint="eastAsia" w:cs="宋体" w:asciiTheme="minorEastAsia" w:hAnsiTheme="minorEastAsia" w:eastAsiaTheme="minorEastAsia"/>
          <w:sz w:val="24"/>
          <w:szCs w:val="24"/>
        </w:rPr>
        <w:t>配送服务企业在有效期内撤回其响应文件的；</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3.2 </w:t>
      </w:r>
      <w:r>
        <w:rPr>
          <w:rFonts w:hint="eastAsia" w:cs="宋体" w:asciiTheme="minorEastAsia" w:hAnsiTheme="minorEastAsia" w:eastAsiaTheme="minorEastAsia"/>
          <w:sz w:val="24"/>
          <w:szCs w:val="24"/>
        </w:rPr>
        <w:t>配送服务企业在响应文件中提供虚假材料的；</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3.3 </w:t>
      </w:r>
      <w:r>
        <w:rPr>
          <w:rFonts w:hint="eastAsia" w:cs="宋体" w:asciiTheme="minorEastAsia" w:hAnsiTheme="minorEastAsia" w:eastAsiaTheme="minorEastAsia"/>
          <w:sz w:val="24"/>
          <w:szCs w:val="24"/>
        </w:rPr>
        <w:t>未按招标文件要求交纳履约保证金的；</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3.4 </w:t>
      </w:r>
      <w:r>
        <w:rPr>
          <w:rFonts w:hint="eastAsia" w:cs="宋体" w:asciiTheme="minorEastAsia" w:hAnsiTheme="minorEastAsia" w:eastAsiaTheme="minorEastAsia"/>
          <w:sz w:val="24"/>
          <w:szCs w:val="24"/>
        </w:rPr>
        <w:t>除因不可抗力的情形以外，中标配送服务企业不与招标人签订采购合同的；</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3.5 </w:t>
      </w:r>
      <w:r>
        <w:rPr>
          <w:rFonts w:hint="eastAsia" w:cs="宋体" w:asciiTheme="minorEastAsia" w:hAnsiTheme="minorEastAsia" w:eastAsiaTheme="minorEastAsia"/>
          <w:sz w:val="24"/>
          <w:szCs w:val="24"/>
        </w:rPr>
        <w:t>配送服务企业与招标人，其它配送服务企业恶意串通的；</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3.6 </w:t>
      </w:r>
      <w:r>
        <w:rPr>
          <w:rFonts w:hint="eastAsia" w:cs="宋体" w:asciiTheme="minorEastAsia" w:hAnsiTheme="minorEastAsia" w:eastAsiaTheme="minorEastAsia"/>
          <w:sz w:val="24"/>
          <w:szCs w:val="24"/>
        </w:rPr>
        <w:t>签订合同后没有履行合同或擅自变更合同的；</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3.7 </w:t>
      </w:r>
      <w:r>
        <w:rPr>
          <w:rFonts w:hint="eastAsia" w:cs="宋体" w:asciiTheme="minorEastAsia" w:hAnsiTheme="minorEastAsia" w:eastAsiaTheme="minorEastAsia"/>
          <w:sz w:val="24"/>
          <w:szCs w:val="24"/>
        </w:rPr>
        <w:t>有其它违反法律、法规、规章行为，经采购监管部门查实的。</w:t>
      </w:r>
    </w:p>
    <w:p>
      <w:pPr>
        <w:spacing w:line="600" w:lineRule="exact"/>
        <w:ind w:firstLine="482" w:firstLineChars="200"/>
        <w:rPr>
          <w:rFonts w:cs="宋体" w:asciiTheme="minorEastAsia" w:hAnsiTheme="minorEastAsia" w:eastAsiaTheme="minorEastAsia"/>
          <w:b/>
          <w:bCs/>
          <w:sz w:val="24"/>
          <w:szCs w:val="24"/>
        </w:rPr>
      </w:pPr>
      <w:r>
        <w:rPr>
          <w:rFonts w:cs="宋体" w:asciiTheme="minorEastAsia" w:hAnsiTheme="minorEastAsia" w:eastAsiaTheme="minorEastAsia"/>
          <w:b/>
          <w:bCs/>
          <w:sz w:val="24"/>
          <w:szCs w:val="24"/>
        </w:rPr>
        <w:t>4.</w:t>
      </w:r>
      <w:r>
        <w:rPr>
          <w:rFonts w:hint="eastAsia" w:cs="宋体" w:asciiTheme="minorEastAsia" w:hAnsiTheme="minorEastAsia" w:eastAsiaTheme="minorEastAsia"/>
          <w:b/>
          <w:bCs/>
          <w:sz w:val="24"/>
          <w:szCs w:val="24"/>
        </w:rPr>
        <w:t>履约保证金</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4.1 </w:t>
      </w:r>
      <w:r>
        <w:rPr>
          <w:rFonts w:hint="eastAsia" w:cs="宋体" w:asciiTheme="minorEastAsia" w:hAnsiTheme="minorEastAsia" w:eastAsiaTheme="minorEastAsia"/>
          <w:sz w:val="24"/>
          <w:szCs w:val="24"/>
        </w:rPr>
        <w:t>履约保证金，中标配送服务企业在收到中标通知书后</w:t>
      </w:r>
      <w:r>
        <w:rPr>
          <w:rFonts w:cs="宋体" w:asciiTheme="minorEastAsia" w:hAnsiTheme="minorEastAsia" w:eastAsiaTheme="minorEastAsia"/>
          <w:sz w:val="24"/>
          <w:szCs w:val="24"/>
        </w:rPr>
        <w:t>15</w:t>
      </w:r>
      <w:r>
        <w:rPr>
          <w:rFonts w:hint="eastAsia" w:cs="宋体" w:asciiTheme="minorEastAsia" w:hAnsiTheme="minorEastAsia" w:eastAsiaTheme="minorEastAsia"/>
          <w:sz w:val="24"/>
          <w:szCs w:val="24"/>
        </w:rPr>
        <w:t>个工作日内按照招标文件的要求交纳履约保证金。凭履约保证金缴纳凭证原件，中标配送服务企业与招标人签订采购合同。</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 xml:space="preserve">4.2 </w:t>
      </w:r>
      <w:r>
        <w:rPr>
          <w:rFonts w:hint="eastAsia" w:cs="宋体" w:asciiTheme="minorEastAsia" w:hAnsiTheme="minorEastAsia" w:eastAsiaTheme="minorEastAsia"/>
          <w:sz w:val="24"/>
          <w:szCs w:val="24"/>
        </w:rPr>
        <w:t>配送服务企业合同履约完成，并经招标人确认履约合格后，由招标人在1个月内以非现金形式退还中标配送服务企业履约保证金（无息）。</w:t>
      </w:r>
    </w:p>
    <w:p>
      <w:pPr>
        <w:spacing w:line="600" w:lineRule="exact"/>
        <w:ind w:left="640"/>
        <w:rPr>
          <w:rFonts w:cs="Times New Roman" w:asciiTheme="minorEastAsia" w:hAnsiTheme="minorEastAsia" w:eastAsiaTheme="minorEastAsia"/>
          <w:b/>
          <w:bCs/>
          <w:sz w:val="24"/>
          <w:szCs w:val="24"/>
        </w:rPr>
      </w:pPr>
      <w:r>
        <w:rPr>
          <w:rFonts w:cs="宋体" w:asciiTheme="minorEastAsia" w:hAnsiTheme="minorEastAsia" w:eastAsiaTheme="minorEastAsia"/>
          <w:b/>
          <w:bCs/>
          <w:sz w:val="24"/>
          <w:szCs w:val="24"/>
        </w:rPr>
        <w:t>5.</w:t>
      </w:r>
      <w:r>
        <w:rPr>
          <w:rFonts w:hint="eastAsia" w:cs="宋体" w:asciiTheme="minorEastAsia" w:hAnsiTheme="minorEastAsia" w:eastAsiaTheme="minorEastAsia"/>
          <w:b/>
          <w:bCs/>
          <w:sz w:val="24"/>
          <w:szCs w:val="24"/>
        </w:rPr>
        <w:t>响应文件的有效期为</w:t>
      </w:r>
      <w:r>
        <w:rPr>
          <w:rFonts w:cs="宋体" w:asciiTheme="minorEastAsia" w:hAnsiTheme="minorEastAsia" w:eastAsiaTheme="minorEastAsia"/>
          <w:b/>
          <w:bCs/>
          <w:sz w:val="24"/>
          <w:szCs w:val="24"/>
        </w:rPr>
        <w:t>90</w:t>
      </w:r>
      <w:r>
        <w:rPr>
          <w:rFonts w:hint="eastAsia" w:cs="宋体" w:asciiTheme="minorEastAsia" w:hAnsiTheme="minorEastAsia" w:eastAsiaTheme="minorEastAsia"/>
          <w:b/>
          <w:bCs/>
          <w:sz w:val="24"/>
          <w:szCs w:val="24"/>
        </w:rPr>
        <w:t>天。</w:t>
      </w:r>
    </w:p>
    <w:p>
      <w:pPr>
        <w:spacing w:line="600" w:lineRule="exact"/>
        <w:ind w:firstLine="590" w:firstLineChars="245"/>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九、询问、质疑和投诉</w:t>
      </w:r>
    </w:p>
    <w:p>
      <w:pPr>
        <w:spacing w:line="600" w:lineRule="exact"/>
        <w:ind w:firstLine="588" w:firstLineChars="245"/>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询问、质疑、投诉的接收和处理按照《中华人共和国政府采购法》、《中华人共和国政府采购法实施条例》、《政府采购配送服务企业投诉处理办法》、《财政部关于加强政府采购配送服务企业投诉受理审查工作的通知》以及《关于贯彻落实</w:t>
      </w:r>
      <w:r>
        <w:rPr>
          <w:rFonts w:cs="宋体" w:asciiTheme="minorEastAsia" w:hAnsiTheme="minorEastAsia" w:eastAsiaTheme="minorEastAsia"/>
          <w:sz w:val="24"/>
          <w:szCs w:val="24"/>
        </w:rPr>
        <w:t>&lt;</w:t>
      </w:r>
      <w:r>
        <w:rPr>
          <w:rFonts w:hint="eastAsia" w:cs="宋体" w:asciiTheme="minorEastAsia" w:hAnsiTheme="minorEastAsia" w:eastAsiaTheme="minorEastAsia"/>
          <w:sz w:val="24"/>
          <w:szCs w:val="24"/>
        </w:rPr>
        <w:t>中华人民共和国政府采购法实施条例</w:t>
      </w:r>
      <w:r>
        <w:rPr>
          <w:rFonts w:cs="宋体" w:asciiTheme="minorEastAsia" w:hAnsiTheme="minorEastAsia" w:eastAsiaTheme="minorEastAsia"/>
          <w:sz w:val="24"/>
          <w:szCs w:val="24"/>
        </w:rPr>
        <w:t>&gt;</w:t>
      </w:r>
      <w:r>
        <w:rPr>
          <w:rFonts w:hint="eastAsia" w:cs="宋体" w:asciiTheme="minorEastAsia" w:hAnsiTheme="minorEastAsia" w:eastAsiaTheme="minorEastAsia"/>
          <w:sz w:val="24"/>
          <w:szCs w:val="24"/>
        </w:rPr>
        <w:t>的若干规定》的规定办理。</w:t>
      </w:r>
    </w:p>
    <w:p>
      <w:pPr>
        <w:spacing w:line="360" w:lineRule="auto"/>
        <w:ind w:firstLine="588" w:firstLineChars="245"/>
        <w:rPr>
          <w:rFonts w:ascii="宋体" w:cs="Times New Roman"/>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spacing w:line="360" w:lineRule="auto"/>
        <w:ind w:left="640"/>
        <w:rPr>
          <w:rFonts w:ascii="宋体" w:cs="Times New Roman"/>
          <w:b/>
          <w:bCs/>
          <w:sz w:val="24"/>
          <w:szCs w:val="24"/>
        </w:rPr>
      </w:pPr>
    </w:p>
    <w:p>
      <w:pPr>
        <w:rPr>
          <w:rFonts w:cs="宋体" w:asciiTheme="minorEastAsia" w:hAnsiTheme="minorEastAsia" w:eastAsiaTheme="minorEastAsia"/>
          <w:b/>
          <w:bCs/>
          <w:sz w:val="24"/>
          <w:szCs w:val="24"/>
        </w:rPr>
      </w:pPr>
    </w:p>
    <w:p>
      <w:pPr>
        <w:spacing w:line="600" w:lineRule="exact"/>
        <w:ind w:firstLine="354" w:firstLineChars="147"/>
        <w:jc w:val="center"/>
        <w:rPr>
          <w:rFonts w:hint="eastAsia" w:cs="宋体" w:asciiTheme="minorEastAsia" w:hAnsiTheme="minorEastAsia" w:eastAsiaTheme="minorEastAsia"/>
          <w:b/>
          <w:bCs/>
          <w:sz w:val="24"/>
          <w:szCs w:val="24"/>
        </w:rPr>
      </w:pPr>
    </w:p>
    <w:p>
      <w:pPr>
        <w:spacing w:line="600" w:lineRule="exact"/>
        <w:ind w:firstLine="354" w:firstLineChars="147"/>
        <w:jc w:val="center"/>
        <w:rPr>
          <w:rFonts w:hint="eastAsia" w:cs="宋体" w:asciiTheme="minorEastAsia" w:hAnsiTheme="minorEastAsia" w:eastAsiaTheme="minorEastAsia"/>
          <w:b/>
          <w:bCs/>
          <w:sz w:val="24"/>
          <w:szCs w:val="24"/>
        </w:rPr>
      </w:pPr>
    </w:p>
    <w:p>
      <w:pPr>
        <w:spacing w:line="600" w:lineRule="exact"/>
        <w:ind w:firstLine="354" w:firstLineChars="147"/>
        <w:jc w:val="center"/>
        <w:rPr>
          <w:rFonts w:hint="eastAsia" w:cs="宋体" w:asciiTheme="minorEastAsia" w:hAnsiTheme="minorEastAsia" w:eastAsiaTheme="minorEastAsia"/>
          <w:b/>
          <w:bCs/>
          <w:sz w:val="24"/>
          <w:szCs w:val="24"/>
        </w:rPr>
      </w:pPr>
    </w:p>
    <w:p>
      <w:pPr>
        <w:spacing w:line="600" w:lineRule="exact"/>
        <w:ind w:firstLine="354" w:firstLineChars="147"/>
        <w:jc w:val="center"/>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第五章  确定中标人及签订合同</w:t>
      </w: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一、确定中标人</w:t>
      </w:r>
    </w:p>
    <w:p>
      <w:pPr>
        <w:spacing w:line="600" w:lineRule="exact"/>
        <w:ind w:firstLine="480"/>
        <w:jc w:val="both"/>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本次采购项目采用由评审委员会推荐中标候选配送服务企业并直接确定中标配送服务企业的方式。</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中标配送服务企业有下列行为之一的，将取消其中标资格：</w:t>
      </w:r>
    </w:p>
    <w:p>
      <w:pPr>
        <w:spacing w:line="600" w:lineRule="exact"/>
        <w:ind w:left="360" w:right="-122" w:rightChars="-61"/>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）中标配送服务企业存在违法、违纪行为的；</w:t>
      </w:r>
    </w:p>
    <w:p>
      <w:pPr>
        <w:spacing w:line="600" w:lineRule="exact"/>
        <w:ind w:firstLine="360"/>
        <w:jc w:val="both"/>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）中标配送服务企业因不可抗力、社会经济形势发生重大变化、破产、重组等原因确定无法履行政府采购合同的；</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）中标配送服务企业书面自愿放弃中标，且无其他非法目的；</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）其他不应确定中标配送服务企业的情形。</w:t>
      </w:r>
    </w:p>
    <w:p>
      <w:pPr>
        <w:spacing w:line="600" w:lineRule="exact"/>
        <w:ind w:right="-122" w:firstLine="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中标配送服务企业出现本条第</w:t>
      </w:r>
      <w:r>
        <w:rPr>
          <w:rFonts w:cs="宋体" w:asciiTheme="minorEastAsia" w:hAnsiTheme="minorEastAsia" w:eastAsiaTheme="minorEastAsia"/>
          <w:sz w:val="24"/>
          <w:szCs w:val="24"/>
        </w:rPr>
        <w:t xml:space="preserve"> 1</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2 </w:t>
      </w:r>
      <w:r>
        <w:rPr>
          <w:rFonts w:hint="eastAsia" w:cs="宋体" w:asciiTheme="minorEastAsia" w:hAnsiTheme="minorEastAsia" w:eastAsiaTheme="minorEastAsia"/>
          <w:sz w:val="24"/>
          <w:szCs w:val="24"/>
        </w:rPr>
        <w:t>款情形之一的，招标人可确定中标配送服务企业后的中标候选人为中标配送服务企业，以此类推。无法确定配送服务企业的，应当重新组织采购。</w:t>
      </w:r>
    </w:p>
    <w:p>
      <w:pPr>
        <w:spacing w:line="600" w:lineRule="exact"/>
        <w:ind w:firstLine="540"/>
        <w:jc w:val="both"/>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中标候选配送服务企业出现本条第</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款情形放弃中标的，应当说明理由，招标人应以书面材料报上级部门同意后，可以按中标候选人顺序将标授予下一个中标候选人，或重新组织采购活动。</w:t>
      </w:r>
    </w:p>
    <w:p>
      <w:pPr>
        <w:spacing w:line="600" w:lineRule="exact"/>
        <w:ind w:firstLine="540"/>
        <w:jc w:val="both"/>
        <w:rPr>
          <w:rFonts w:hint="eastAsia" w:cs="Times New Roman" w:asciiTheme="minorEastAsia" w:hAnsiTheme="minorEastAsia" w:eastAsiaTheme="minorEastAsia"/>
          <w:color w:val="auto"/>
          <w:sz w:val="24"/>
          <w:szCs w:val="24"/>
          <w:lang w:eastAsia="zh-CN"/>
        </w:rPr>
      </w:pPr>
      <w:r>
        <w:rPr>
          <w:rFonts w:cs="宋体" w:asciiTheme="minorEastAsia" w:hAnsiTheme="minorEastAsia" w:eastAsiaTheme="minorEastAsia"/>
          <w:color w:val="auto"/>
          <w:sz w:val="24"/>
          <w:szCs w:val="24"/>
        </w:rPr>
        <w:t>3.</w:t>
      </w:r>
      <w:r>
        <w:rPr>
          <w:rFonts w:hint="eastAsia" w:cs="宋体" w:asciiTheme="minorEastAsia" w:hAnsiTheme="minorEastAsia" w:eastAsiaTheme="minorEastAsia"/>
          <w:color w:val="auto"/>
          <w:sz w:val="24"/>
          <w:szCs w:val="24"/>
        </w:rPr>
        <w:t>招标人按照评审小组出具的评审报告中的中标候选人顺序确认中标方后在</w:t>
      </w:r>
      <w:r>
        <w:rPr>
          <w:rFonts w:hint="eastAsia" w:cs="宋体" w:asciiTheme="minorEastAsia" w:hAnsiTheme="minorEastAsia" w:eastAsiaTheme="minorEastAsia"/>
          <w:color w:val="auto"/>
          <w:sz w:val="24"/>
          <w:szCs w:val="24"/>
          <w:lang w:eastAsia="zh-CN"/>
        </w:rPr>
        <w:t>重庆莘莘餐饮管理有限公司官网上</w:t>
      </w:r>
      <w:r>
        <w:rPr>
          <w:rFonts w:hint="eastAsia" w:cs="宋体" w:asciiTheme="minorEastAsia" w:hAnsiTheme="minorEastAsia" w:eastAsiaTheme="minorEastAsia"/>
          <w:color w:val="auto"/>
          <w:sz w:val="24"/>
          <w:szCs w:val="24"/>
        </w:rPr>
        <w:t>发布中标结果公告，同时向中标人发出中标通知书。</w:t>
      </w:r>
    </w:p>
    <w:p>
      <w:pPr>
        <w:spacing w:line="600" w:lineRule="exact"/>
        <w:ind w:firstLine="540"/>
        <w:jc w:val="both"/>
        <w:rPr>
          <w:rFonts w:cs="Times New Roman" w:asciiTheme="minorEastAsia" w:hAnsiTheme="minorEastAsia" w:eastAsiaTheme="minorEastAsia"/>
          <w:sz w:val="24"/>
          <w:szCs w:val="24"/>
        </w:rPr>
      </w:pPr>
      <w:r>
        <w:rPr>
          <w:rFonts w:cs="宋体" w:asciiTheme="minorEastAsia" w:hAnsiTheme="minorEastAsia" w:eastAsiaTheme="minorEastAsia"/>
          <w:color w:val="auto"/>
          <w:sz w:val="24"/>
          <w:szCs w:val="24"/>
        </w:rPr>
        <w:t xml:space="preserve">4. </w:t>
      </w:r>
      <w:r>
        <w:rPr>
          <w:rFonts w:hint="eastAsia" w:cs="宋体" w:asciiTheme="minorEastAsia" w:hAnsiTheme="minorEastAsia" w:eastAsiaTheme="minorEastAsia"/>
          <w:color w:val="auto"/>
          <w:sz w:val="24"/>
          <w:szCs w:val="24"/>
        </w:rPr>
        <w:t>如果中标人没有按中标通知书要求的时间与招标人签订合同的（招标人原因除</w:t>
      </w:r>
      <w:r>
        <w:rPr>
          <w:rFonts w:hint="eastAsia" w:cs="宋体" w:asciiTheme="minorEastAsia" w:hAnsiTheme="minorEastAsia" w:eastAsiaTheme="minorEastAsia"/>
          <w:sz w:val="24"/>
          <w:szCs w:val="24"/>
        </w:rPr>
        <w:t>外），中标人的中标资格将被取消，不予退还投标保证金。</w:t>
      </w:r>
    </w:p>
    <w:p>
      <w:pPr>
        <w:spacing w:line="600" w:lineRule="exact"/>
        <w:ind w:left="48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二、签订合同</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一）招标人应当自成交通知书发出之日起三十日内，按照招标文件和成交配送服务企业响应文件的约定，与成交配送服务企业签订书面合同。所签订的合同不得对招标文件和配送服务企业的响应文件作实质性修改。</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（二）招标文件、配送服务企业的响应文件、澄清文件及</w:t>
      </w:r>
      <w:r>
        <w:rPr>
          <w:rFonts w:hint="eastAsia" w:cs="宋体" w:asciiTheme="minorEastAsia" w:hAnsiTheme="minorEastAsia" w:eastAsiaTheme="minorEastAsia"/>
          <w:sz w:val="24"/>
          <w:szCs w:val="24"/>
        </w:rPr>
        <w:t>中标通知书</w:t>
      </w:r>
      <w:r>
        <w:rPr>
          <w:rFonts w:hint="eastAsia" w:asciiTheme="minorEastAsia" w:hAnsiTheme="minorEastAsia" w:eastAsiaTheme="minorEastAsia"/>
          <w:sz w:val="24"/>
          <w:szCs w:val="24"/>
        </w:rPr>
        <w:t>等，均为签订合同的依据。</w:t>
      </w:r>
    </w:p>
    <w:p>
      <w:pPr>
        <w:spacing w:line="600" w:lineRule="exact"/>
        <w:ind w:right="-122" w:rightChars="-61"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三）招标文件中所附《合同主要条款》是招标人与中标人签合同的基本条款，中标人必须在中标通知书所要求的时间按照招标文件中承诺的条件以及其他要求与招标人签订合同，在签订合同时若中标人坚持提出附加条件和不合理要求，中标资格将被取消，该中标人对由此产生的一切后果负责；招标人不得向中标人提出任何不合理的要求，作为签订合同的条件，不得与中标人私下订立背离合同实质性内容的任何协议，所签订的合同不得对招标通知书和报价人响应文件作实质性修改。</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（四）合同生效条款由供需双方约定，法律、行政法规规定应当办理批准、登记等手续后生效的合同，依照其规定。</w:t>
      </w:r>
    </w:p>
    <w:p>
      <w:pPr>
        <w:spacing w:line="600" w:lineRule="exact"/>
        <w:ind w:right="-122" w:rightChars="-61" w:firstLine="360" w:firstLineChars="15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五）由于中标人自身原因未及时签订合同的，招标人可以视为中标人放弃中标。在此种情况下，招标人应以书面材料报同级上级部门同意后，可以按中标候选人顺序将标授予下一个中标候选人，或重新组织采购活动。</w:t>
      </w:r>
    </w:p>
    <w:p>
      <w:pPr>
        <w:spacing w:line="600" w:lineRule="exact"/>
        <w:ind w:right="-122" w:rightChars="-61" w:firstLine="360" w:firstLineChars="15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（六）合同签订后不允许将合同转与其他单位。</w:t>
      </w:r>
    </w:p>
    <w:p>
      <w:pPr>
        <w:spacing w:line="600" w:lineRule="exact"/>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（七）招标人要求成交配送服务企业提供履约保证金的，应当在竞争性谈判文件中予以约定。成交配送服务企业履约完毕后，招标人应于十五日内无息退还其履约保证金。</w:t>
      </w:r>
    </w:p>
    <w:p>
      <w:pPr>
        <w:spacing w:line="600" w:lineRule="exact"/>
        <w:ind w:firstLine="472" w:firstLineChars="196"/>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三、履行合同</w:t>
      </w:r>
    </w:p>
    <w:p>
      <w:pPr>
        <w:spacing w:line="600" w:lineRule="exact"/>
        <w:ind w:firstLine="470" w:firstLineChars="196"/>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 </w:t>
      </w:r>
      <w:r>
        <w:rPr>
          <w:rFonts w:hint="eastAsia" w:cs="宋体" w:asciiTheme="minorEastAsia" w:hAnsiTheme="minorEastAsia" w:eastAsiaTheme="minorEastAsia"/>
          <w:sz w:val="24"/>
          <w:szCs w:val="24"/>
        </w:rPr>
        <w:t>中标人与招标人签订合同后，合同双方应严格执行合同条款，履行合同规定的义务，保证合同的顺利完成。</w:t>
      </w:r>
    </w:p>
    <w:p>
      <w:pPr>
        <w:spacing w:line="600" w:lineRule="exact"/>
        <w:ind w:firstLine="470" w:firstLineChars="196"/>
        <w:rPr>
          <w:rFonts w:cs="宋体" w:asciiTheme="minorEastAsia" w:hAnsiTheme="minorEastAsia" w:eastAsiaTheme="minorEastAsia"/>
          <w:b/>
          <w:bCs/>
          <w:sz w:val="24"/>
          <w:szCs w:val="24"/>
        </w:rPr>
      </w:pPr>
      <w:r>
        <w:rPr>
          <w:rFonts w:cs="宋体" w:asciiTheme="minorEastAsia" w:hAnsiTheme="minorEastAsia" w:eastAsiaTheme="minorEastAsia"/>
          <w:sz w:val="24"/>
          <w:szCs w:val="24"/>
        </w:rPr>
        <w:t xml:space="preserve">2. </w:t>
      </w:r>
      <w:r>
        <w:rPr>
          <w:rFonts w:hint="eastAsia" w:cs="宋体" w:asciiTheme="minorEastAsia" w:hAnsiTheme="minorEastAsia" w:eastAsiaTheme="minorEastAsia"/>
          <w:sz w:val="24"/>
          <w:szCs w:val="24"/>
        </w:rPr>
        <w:t>在合同履行过程中，如发生合同纠纷，合同双方应按照《合同法》的有关规定进行处理。</w:t>
      </w:r>
    </w:p>
    <w:p>
      <w:pPr>
        <w:rPr>
          <w:rFonts w:ascii="宋体" w:hAnsi="宋体" w:cs="宋体"/>
          <w:b/>
          <w:bCs/>
          <w:sz w:val="24"/>
          <w:szCs w:val="24"/>
        </w:rPr>
      </w:pPr>
      <w:r>
        <w:rPr>
          <w:rFonts w:ascii="宋体" w:hAnsi="宋体" w:cs="宋体"/>
          <w:b/>
          <w:bCs/>
          <w:sz w:val="24"/>
          <w:szCs w:val="24"/>
        </w:rPr>
        <w:br w:type="page"/>
      </w:r>
    </w:p>
    <w:p>
      <w:pPr>
        <w:tabs>
          <w:tab w:val="left" w:pos="300"/>
        </w:tabs>
        <w:spacing w:line="360" w:lineRule="auto"/>
        <w:jc w:val="center"/>
        <w:rPr>
          <w:rFonts w:ascii="宋体" w:cs="Times New Roman"/>
          <w:b/>
          <w:bCs/>
          <w:sz w:val="32"/>
          <w:szCs w:val="32"/>
        </w:rPr>
      </w:pPr>
      <w:r>
        <w:rPr>
          <w:rFonts w:hint="eastAsia" w:ascii="宋体" w:hAnsi="宋体" w:cs="宋体"/>
          <w:b/>
          <w:bCs/>
          <w:sz w:val="32"/>
          <w:szCs w:val="32"/>
        </w:rPr>
        <w:t>第六章</w:t>
      </w:r>
      <w:r>
        <w:rPr>
          <w:rFonts w:ascii="宋体" w:cs="Times New Roman"/>
          <w:b/>
          <w:bCs/>
          <w:sz w:val="32"/>
          <w:szCs w:val="32"/>
        </w:rPr>
        <w:tab/>
      </w:r>
      <w:r>
        <w:rPr>
          <w:rFonts w:hint="eastAsia" w:ascii="宋体" w:hAnsi="宋体" w:cs="宋体"/>
          <w:b/>
          <w:bCs/>
          <w:sz w:val="32"/>
          <w:szCs w:val="32"/>
        </w:rPr>
        <w:t>响应文件格式</w:t>
      </w:r>
    </w:p>
    <w:p>
      <w:pPr>
        <w:spacing w:line="360" w:lineRule="auto"/>
        <w:rPr>
          <w:rFonts w:ascii="宋体" w:cs="Times New Roman"/>
        </w:rPr>
      </w:pPr>
    </w:p>
    <w:p>
      <w:pPr>
        <w:spacing w:line="360" w:lineRule="auto"/>
        <w:rPr>
          <w:rFonts w:ascii="宋体" w:cs="Times New Roman"/>
          <w:sz w:val="24"/>
          <w:szCs w:val="24"/>
        </w:rPr>
      </w:pPr>
      <w:r>
        <w:rPr>
          <w:rFonts w:hint="eastAsia" w:ascii="宋体" w:hAnsi="宋体" w:cs="宋体"/>
          <w:sz w:val="24"/>
          <w:szCs w:val="24"/>
        </w:rPr>
        <w:t>附件</w:t>
      </w:r>
      <w:r>
        <w:rPr>
          <w:rFonts w:ascii="宋体" w:hAnsi="宋体" w:cs="宋体"/>
          <w:sz w:val="24"/>
          <w:szCs w:val="24"/>
        </w:rPr>
        <w:t xml:space="preserve"> 1</w:t>
      </w:r>
      <w:r>
        <w:rPr>
          <w:rFonts w:hint="eastAsia" w:ascii="宋体" w:hAnsi="宋体" w:cs="宋体"/>
          <w:sz w:val="24"/>
          <w:szCs w:val="24"/>
        </w:rPr>
        <w:t>：响应文件封面格式</w:t>
      </w:r>
    </w:p>
    <w:p>
      <w:pPr>
        <w:spacing w:line="360" w:lineRule="auto"/>
        <w:rPr>
          <w:rFonts w:ascii="宋体" w:cs="Times New Roman"/>
        </w:rPr>
      </w:pPr>
      <w:r>
        <w:drawing>
          <wp:anchor distT="0" distB="0" distL="114300" distR="114300" simplePos="0" relativeHeight="251658240" behindDoc="1" locked="0" layoutInCell="0" allowOverlap="1">
            <wp:simplePos x="0" y="0"/>
            <wp:positionH relativeFrom="column">
              <wp:posOffset>3987800</wp:posOffset>
            </wp:positionH>
            <wp:positionV relativeFrom="paragraph">
              <wp:posOffset>365760</wp:posOffset>
            </wp:positionV>
            <wp:extent cx="1172210" cy="367030"/>
            <wp:effectExtent l="19050" t="0" r="8890" b="0"/>
            <wp:wrapNone/>
            <wp:docPr id="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pic:cNvPicPr>
                      <a:picLocks noChangeAspect="1" noChangeArrowheads="1"/>
                    </pic:cNvPicPr>
                  </pic:nvPicPr>
                  <pic:blipFill>
                    <a:blip r:embed="rId5"/>
                    <a:srcRect/>
                    <a:stretch>
                      <a:fillRect/>
                    </a:stretch>
                  </pic:blipFill>
                  <pic:spPr>
                    <a:xfrm>
                      <a:off x="0" y="0"/>
                      <a:ext cx="1172210" cy="367030"/>
                    </a:xfrm>
                    <a:prstGeom prst="rect">
                      <a:avLst/>
                    </a:prstGeom>
                    <a:noFill/>
                  </pic:spPr>
                </pic:pic>
              </a:graphicData>
            </a:graphic>
          </wp:anchor>
        </w:drawing>
      </w:r>
    </w:p>
    <w:p>
      <w:pPr>
        <w:spacing w:line="360" w:lineRule="auto"/>
        <w:rPr>
          <w:rFonts w:ascii="宋体" w:cs="Times New Roman"/>
        </w:rPr>
      </w:pPr>
    </w:p>
    <w:p>
      <w:pPr>
        <w:spacing w:line="360" w:lineRule="auto"/>
        <w:rPr>
          <w:rFonts w:ascii="宋体" w:cs="Times New Roman"/>
        </w:rPr>
      </w:pPr>
    </w:p>
    <w:p>
      <w:pPr>
        <w:spacing w:line="360" w:lineRule="auto"/>
        <w:rPr>
          <w:rFonts w:ascii="宋体" w:cs="Times New Roman"/>
        </w:rPr>
      </w:pPr>
    </w:p>
    <w:p>
      <w:pPr>
        <w:spacing w:line="360" w:lineRule="auto"/>
        <w:ind w:left="6460"/>
        <w:rPr>
          <w:rFonts w:ascii="宋体" w:cs="Times New Roman"/>
          <w:b/>
          <w:bCs/>
          <w:sz w:val="28"/>
          <w:szCs w:val="28"/>
        </w:rPr>
      </w:pPr>
      <w:r>
        <w:rPr>
          <w:rFonts w:hint="eastAsia" w:ascii="宋体" w:hAnsi="宋体" w:cs="宋体"/>
          <w:b/>
          <w:bCs/>
          <w:sz w:val="28"/>
          <w:szCs w:val="28"/>
        </w:rPr>
        <w:t>正本或副本</w:t>
      </w:r>
    </w:p>
    <w:p>
      <w:pPr>
        <w:spacing w:line="360" w:lineRule="auto"/>
        <w:rPr>
          <w:rFonts w:ascii="宋体" w:cs="Times New Roman"/>
        </w:rPr>
      </w:pPr>
    </w:p>
    <w:p>
      <w:pPr>
        <w:spacing w:line="360" w:lineRule="auto"/>
        <w:rPr>
          <w:rFonts w:ascii="宋体" w:cs="Times New Roman"/>
        </w:rPr>
      </w:pPr>
    </w:p>
    <w:p>
      <w:pPr>
        <w:spacing w:line="360" w:lineRule="auto"/>
        <w:ind w:right="26"/>
        <w:jc w:val="center"/>
        <w:rPr>
          <w:rFonts w:ascii="宋体" w:cs="Times New Roman"/>
          <w:sz w:val="84"/>
          <w:szCs w:val="84"/>
        </w:rPr>
      </w:pPr>
      <w:r>
        <w:rPr>
          <w:rFonts w:hint="eastAsia" w:ascii="宋体" w:hAnsi="宋体" w:cs="宋体"/>
          <w:sz w:val="84"/>
          <w:szCs w:val="84"/>
        </w:rPr>
        <w:t>响应文件</w:t>
      </w:r>
    </w:p>
    <w:p>
      <w:pPr>
        <w:spacing w:line="360" w:lineRule="auto"/>
        <w:rPr>
          <w:rFonts w:ascii="宋体" w:cs="Times New Roman"/>
        </w:rPr>
      </w:pPr>
    </w:p>
    <w:p>
      <w:pPr>
        <w:spacing w:line="360" w:lineRule="auto"/>
        <w:rPr>
          <w:rFonts w:ascii="宋体" w:cs="Times New Roman"/>
        </w:rPr>
      </w:pPr>
    </w:p>
    <w:p>
      <w:pPr>
        <w:spacing w:line="360" w:lineRule="auto"/>
        <w:jc w:val="center"/>
        <w:rPr>
          <w:rFonts w:ascii="宋体" w:cs="Times New Roman"/>
          <w:sz w:val="28"/>
          <w:szCs w:val="28"/>
        </w:rPr>
      </w:pPr>
      <w:r>
        <w:rPr>
          <w:rFonts w:hint="eastAsia" w:ascii="宋体" w:hAnsi="宋体" w:cs="宋体"/>
          <w:sz w:val="28"/>
          <w:szCs w:val="28"/>
        </w:rPr>
        <w:t>（资格性响应文件、技术服务性响应文件）</w:t>
      </w:r>
    </w:p>
    <w:p>
      <w:pPr>
        <w:spacing w:line="360" w:lineRule="auto"/>
        <w:rPr>
          <w:rFonts w:ascii="宋体" w:cs="Times New Roman"/>
        </w:rPr>
      </w:pPr>
    </w:p>
    <w:p>
      <w:pPr>
        <w:spacing w:line="360" w:lineRule="auto"/>
        <w:rPr>
          <w:rFonts w:ascii="宋体" w:cs="Times New Roman"/>
        </w:rPr>
      </w:pPr>
    </w:p>
    <w:p>
      <w:pPr>
        <w:spacing w:line="360" w:lineRule="auto"/>
        <w:ind w:right="-133"/>
        <w:jc w:val="center"/>
        <w:rPr>
          <w:rFonts w:ascii="宋体" w:cs="Times New Roman"/>
          <w:sz w:val="36"/>
          <w:szCs w:val="36"/>
        </w:rPr>
      </w:pPr>
      <w:r>
        <w:rPr>
          <w:rFonts w:hint="eastAsia" w:ascii="宋体" w:hAnsi="宋体" w:cs="宋体"/>
          <w:sz w:val="36"/>
          <w:szCs w:val="36"/>
        </w:rPr>
        <w:t>包</w:t>
      </w:r>
      <w:r>
        <w:rPr>
          <w:rFonts w:ascii="宋体" w:hAnsi="宋体" w:cs="宋体"/>
          <w:sz w:val="36"/>
          <w:szCs w:val="36"/>
        </w:rPr>
        <w:t>XX</w:t>
      </w:r>
    </w:p>
    <w:p>
      <w:pPr>
        <w:spacing w:line="360" w:lineRule="auto"/>
        <w:rPr>
          <w:rFonts w:ascii="宋体" w:cs="Times New Roman"/>
        </w:rPr>
      </w:pPr>
    </w:p>
    <w:p>
      <w:pPr>
        <w:spacing w:line="360" w:lineRule="auto"/>
        <w:ind w:left="620"/>
        <w:rPr>
          <w:rFonts w:ascii="宋体" w:cs="Times New Roman"/>
          <w:sz w:val="32"/>
          <w:szCs w:val="32"/>
          <w:u w:val="single"/>
        </w:rPr>
      </w:pPr>
      <w:r>
        <w:rPr>
          <w:rFonts w:hint="eastAsia" w:ascii="宋体" w:hAnsi="宋体" w:cs="宋体"/>
          <w:sz w:val="32"/>
          <w:szCs w:val="32"/>
        </w:rPr>
        <w:t>项目名称：</w:t>
      </w:r>
    </w:p>
    <w:p>
      <w:pPr>
        <w:spacing w:line="360" w:lineRule="auto"/>
        <w:ind w:left="620"/>
        <w:rPr>
          <w:rFonts w:ascii="宋体" w:cs="Times New Roman"/>
          <w:sz w:val="32"/>
          <w:szCs w:val="32"/>
        </w:rPr>
      </w:pPr>
    </w:p>
    <w:p>
      <w:pPr>
        <w:spacing w:line="360" w:lineRule="auto"/>
        <w:ind w:left="620"/>
        <w:rPr>
          <w:rFonts w:ascii="宋体" w:cs="Times New Roman"/>
          <w:sz w:val="32"/>
          <w:szCs w:val="32"/>
        </w:rPr>
      </w:pPr>
    </w:p>
    <w:p>
      <w:pPr>
        <w:spacing w:line="360" w:lineRule="auto"/>
        <w:ind w:left="620"/>
        <w:rPr>
          <w:rFonts w:ascii="宋体" w:cs="Times New Roman"/>
          <w:sz w:val="32"/>
          <w:szCs w:val="32"/>
          <w:u w:val="single"/>
        </w:rPr>
      </w:pPr>
      <w:r>
        <w:rPr>
          <w:rFonts w:hint="eastAsia" w:ascii="宋体" w:hAnsi="宋体" w:cs="宋体"/>
          <w:sz w:val="32"/>
          <w:szCs w:val="32"/>
        </w:rPr>
        <w:t>配送服务企业名称：</w:t>
      </w:r>
    </w:p>
    <w:p>
      <w:pPr>
        <w:spacing w:line="360" w:lineRule="auto"/>
        <w:ind w:left="620"/>
        <w:rPr>
          <w:rFonts w:ascii="宋体" w:cs="Times New Roman"/>
          <w:sz w:val="32"/>
          <w:szCs w:val="32"/>
        </w:rPr>
      </w:pPr>
    </w:p>
    <w:p>
      <w:pPr>
        <w:spacing w:line="360" w:lineRule="auto"/>
        <w:ind w:left="620"/>
        <w:rPr>
          <w:rFonts w:ascii="宋体" w:cs="Times New Roman"/>
          <w:sz w:val="32"/>
          <w:szCs w:val="32"/>
        </w:rPr>
      </w:pPr>
    </w:p>
    <w:p>
      <w:pPr>
        <w:spacing w:line="360" w:lineRule="auto"/>
        <w:ind w:left="620"/>
        <w:jc w:val="center"/>
        <w:rPr>
          <w:rFonts w:ascii="宋体" w:cs="Times New Roman"/>
          <w:sz w:val="32"/>
          <w:szCs w:val="32"/>
        </w:rPr>
      </w:pPr>
      <w:r>
        <w:rPr>
          <w:rFonts w:hint="eastAsia" w:ascii="宋体" w:hAnsi="宋体" w:cs="宋体"/>
          <w:sz w:val="32"/>
          <w:szCs w:val="32"/>
        </w:rPr>
        <w:t>年   月   日</w:t>
      </w:r>
    </w:p>
    <w:p>
      <w:pPr>
        <w:spacing w:line="360" w:lineRule="auto"/>
        <w:rPr>
          <w:rFonts w:ascii="宋体" w:cs="Times New Roman"/>
        </w:rPr>
        <w:sectPr>
          <w:footerReference r:id="rId3" w:type="default"/>
          <w:pgSz w:w="11900" w:h="16838"/>
          <w:pgMar w:top="1134" w:right="1440" w:bottom="1134" w:left="1134" w:header="0" w:footer="0" w:gutter="0"/>
          <w:cols w:equalWidth="0" w:num="1">
            <w:col w:w="9332"/>
          </w:cols>
          <w:titlePg/>
          <w:docGrid w:linePitch="360" w:charSpace="0"/>
        </w:sectPr>
      </w:pPr>
    </w:p>
    <w:p>
      <w:pPr>
        <w:rPr>
          <w:rFonts w:hint="eastAsia" w:ascii="宋体" w:hAnsi="宋体" w:cs="宋体"/>
          <w:b/>
          <w:bCs/>
          <w:sz w:val="32"/>
          <w:szCs w:val="32"/>
        </w:rPr>
      </w:pPr>
      <w:bookmarkStart w:id="19" w:name="page19"/>
      <w:bookmarkEnd w:id="19"/>
      <w:r>
        <w:rPr>
          <w:rFonts w:hint="eastAsia" w:ascii="宋体" w:hAnsi="宋体" w:cs="宋体"/>
          <w:b/>
          <w:bCs/>
          <w:sz w:val="32"/>
          <w:szCs w:val="32"/>
        </w:rPr>
        <w:br w:type="page"/>
      </w:r>
    </w:p>
    <w:p>
      <w:pPr>
        <w:spacing w:line="360" w:lineRule="auto"/>
        <w:jc w:val="center"/>
        <w:rPr>
          <w:rFonts w:ascii="宋体" w:cs="Times New Roman"/>
          <w:b/>
          <w:bCs/>
          <w:sz w:val="32"/>
          <w:szCs w:val="32"/>
        </w:rPr>
      </w:pPr>
      <w:r>
        <w:rPr>
          <w:rFonts w:hint="eastAsia" w:ascii="宋体" w:hAnsi="宋体" w:cs="宋体"/>
          <w:b/>
          <w:bCs/>
          <w:sz w:val="32"/>
          <w:szCs w:val="32"/>
        </w:rPr>
        <w:t>目录</w:t>
      </w:r>
    </w:p>
    <w:p>
      <w:pPr>
        <w:spacing w:line="360" w:lineRule="auto"/>
        <w:jc w:val="both"/>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jc w:val="center"/>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360" w:lineRule="auto"/>
        <w:rPr>
          <w:rFonts w:ascii="宋体" w:cs="Times New Roman"/>
          <w:b/>
          <w:bCs/>
          <w:sz w:val="28"/>
          <w:szCs w:val="28"/>
        </w:rPr>
      </w:pPr>
    </w:p>
    <w:p>
      <w:pPr>
        <w:spacing w:line="400" w:lineRule="exact"/>
        <w:rPr>
          <w:rFonts w:ascii="宋体" w:cs="Times New Roman"/>
          <w:sz w:val="24"/>
          <w:szCs w:val="24"/>
        </w:rPr>
      </w:pPr>
    </w:p>
    <w:p>
      <w:pPr>
        <w:autoSpaceDE w:val="0"/>
        <w:autoSpaceDN w:val="0"/>
        <w:adjustRightInd w:val="0"/>
        <w:spacing w:line="216" w:lineRule="auto"/>
        <w:ind w:right="246" w:firstLine="480" w:firstLineChars="200"/>
        <w:jc w:val="center"/>
        <w:rPr>
          <w:rFonts w:ascii="宋体" w:cs="Times New Roman"/>
          <w:sz w:val="24"/>
          <w:szCs w:val="24"/>
        </w:rPr>
      </w:pPr>
      <w:r>
        <w:rPr>
          <w:rFonts w:hint="eastAsia" w:ascii="宋体" w:hAnsi="宋体" w:cs="宋体"/>
          <w:sz w:val="24"/>
          <w:szCs w:val="24"/>
        </w:rPr>
        <w:t>投标书</w:t>
      </w:r>
    </w:p>
    <w:p>
      <w:pPr>
        <w:adjustRightInd w:val="0"/>
        <w:snapToGrid w:val="0"/>
        <w:spacing w:line="360" w:lineRule="auto"/>
        <w:rPr>
          <w:rFonts w:ascii="宋体" w:cs="Times New Roman"/>
          <w:sz w:val="24"/>
          <w:szCs w:val="24"/>
        </w:rPr>
      </w:pPr>
      <w:r>
        <w:rPr>
          <w:rFonts w:hint="eastAsia" w:ascii="宋体" w:hAnsi="宋体" w:cs="宋体"/>
          <w:sz w:val="24"/>
          <w:szCs w:val="24"/>
          <w:u w:val="single"/>
        </w:rPr>
        <w:t>重庆</w:t>
      </w:r>
      <w:r>
        <w:rPr>
          <w:rFonts w:hint="eastAsia" w:ascii="宋体" w:hAnsi="宋体" w:cs="宋体"/>
          <w:sz w:val="24"/>
          <w:szCs w:val="24"/>
          <w:u w:val="single"/>
          <w:lang w:eastAsia="zh-CN"/>
        </w:rPr>
        <w:t>莘莘餐饮管理有限公司</w:t>
      </w:r>
      <w:r>
        <w:rPr>
          <w:rFonts w:hint="eastAsia" w:ascii="宋体" w:hAnsi="宋体" w:cs="宋体"/>
          <w:sz w:val="24"/>
          <w:szCs w:val="24"/>
        </w:rPr>
        <w:t>：</w:t>
      </w:r>
    </w:p>
    <w:p>
      <w:pPr>
        <w:adjustRightInd w:val="0"/>
        <w:snapToGrid w:val="0"/>
        <w:spacing w:line="360" w:lineRule="auto"/>
        <w:ind w:firstLine="480" w:firstLineChars="200"/>
        <w:rPr>
          <w:rFonts w:ascii="宋体" w:cs="Times New Roman"/>
          <w:sz w:val="24"/>
          <w:szCs w:val="24"/>
        </w:rPr>
      </w:pPr>
      <w:r>
        <w:rPr>
          <w:rFonts w:hint="eastAsia" w:ascii="宋体" w:hAnsi="宋体" w:cs="宋体"/>
          <w:sz w:val="24"/>
          <w:szCs w:val="24"/>
        </w:rPr>
        <w:t>依据贵方</w:t>
      </w:r>
      <w:r>
        <w:rPr>
          <w:rFonts w:ascii="宋体" w:hAnsi="宋体" w:cs="宋体"/>
          <w:sz w:val="24"/>
          <w:szCs w:val="24"/>
          <w:u w:val="single"/>
        </w:rPr>
        <w:t>(                   )</w:t>
      </w:r>
      <w:r>
        <w:rPr>
          <w:rFonts w:hint="eastAsia" w:ascii="宋体" w:hAnsi="宋体" w:cs="宋体"/>
          <w:sz w:val="24"/>
          <w:szCs w:val="24"/>
        </w:rPr>
        <w:t>项目（包</w:t>
      </w:r>
      <w:r>
        <w:rPr>
          <w:rFonts w:hint="eastAsia" w:ascii="宋体" w:hAnsi="宋体" w:cs="宋体"/>
          <w:sz w:val="24"/>
          <w:szCs w:val="24"/>
          <w:lang w:val="en-US" w:eastAsia="zh-CN"/>
        </w:rPr>
        <w:t xml:space="preserve">  xx</w:t>
      </w:r>
      <w:r>
        <w:rPr>
          <w:rFonts w:hint="eastAsia" w:ascii="宋体" w:hAnsi="宋体" w:cs="宋体"/>
          <w:sz w:val="24"/>
          <w:szCs w:val="24"/>
        </w:rPr>
        <w:t>）招标服务的投标邀请，我方代表</w:t>
      </w:r>
      <w:r>
        <w:rPr>
          <w:rFonts w:ascii="宋体" w:hAnsi="宋体" w:cs="宋体"/>
          <w:sz w:val="24"/>
          <w:szCs w:val="24"/>
          <w:u w:val="single"/>
        </w:rPr>
        <w:t>(         )</w:t>
      </w:r>
      <w:r>
        <w:rPr>
          <w:rFonts w:hint="eastAsia" w:ascii="宋体" w:hAnsi="宋体" w:cs="宋体"/>
          <w:sz w:val="24"/>
          <w:szCs w:val="24"/>
        </w:rPr>
        <w:t>经正式授权并代表投标人</w:t>
      </w:r>
      <w:r>
        <w:rPr>
          <w:rFonts w:ascii="宋体" w:hAnsi="宋体" w:cs="宋体"/>
          <w:sz w:val="24"/>
          <w:szCs w:val="24"/>
          <w:u w:val="single"/>
        </w:rPr>
        <w:t>(         )</w:t>
      </w:r>
      <w:r>
        <w:rPr>
          <w:rFonts w:hint="eastAsia" w:ascii="宋体" w:hAnsi="宋体" w:cs="宋体"/>
          <w:sz w:val="24"/>
          <w:szCs w:val="24"/>
        </w:rPr>
        <w:t>提交下述文件正本一份，副本</w:t>
      </w:r>
      <w:r>
        <w:rPr>
          <w:rFonts w:hint="eastAsia" w:ascii="宋体" w:hAnsi="宋体" w:cs="宋体"/>
          <w:sz w:val="24"/>
          <w:szCs w:val="24"/>
          <w:u w:val="none"/>
          <w:lang w:val="en-US" w:eastAsia="zh-CN"/>
        </w:rPr>
        <w:t>一</w:t>
      </w:r>
      <w:r>
        <w:rPr>
          <w:rFonts w:hint="eastAsia" w:ascii="宋体" w:hAnsi="宋体" w:cs="宋体"/>
          <w:sz w:val="24"/>
          <w:szCs w:val="24"/>
        </w:rPr>
        <w:t>份。</w:t>
      </w:r>
    </w:p>
    <w:p>
      <w:pPr>
        <w:autoSpaceDE w:val="0"/>
        <w:autoSpaceDN w:val="0"/>
        <w:adjustRightInd w:val="0"/>
        <w:spacing w:line="360" w:lineRule="auto"/>
        <w:ind w:right="246"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、投标函；</w:t>
      </w:r>
    </w:p>
    <w:p>
      <w:pPr>
        <w:autoSpaceDE w:val="0"/>
        <w:autoSpaceDN w:val="0"/>
        <w:adjustRightInd w:val="0"/>
        <w:spacing w:line="360" w:lineRule="auto"/>
        <w:ind w:right="246" w:firstLine="480" w:firstLineChars="200"/>
        <w:rPr>
          <w:rFonts w:ascii="宋体" w:cs="Times New Roman"/>
          <w:sz w:val="24"/>
          <w:szCs w:val="24"/>
        </w:rPr>
      </w:pPr>
      <w:r>
        <w:rPr>
          <w:rFonts w:hint="eastAsia" w:ascii="宋体" w:hAnsi="宋体" w:cs="宋体"/>
          <w:sz w:val="24"/>
          <w:szCs w:val="24"/>
        </w:rPr>
        <w:t>2、技术部分响应；</w:t>
      </w:r>
    </w:p>
    <w:p>
      <w:pPr>
        <w:autoSpaceDE w:val="0"/>
        <w:autoSpaceDN w:val="0"/>
        <w:adjustRightInd w:val="0"/>
        <w:spacing w:line="360" w:lineRule="auto"/>
        <w:ind w:right="246" w:firstLine="480" w:firstLineChars="200"/>
        <w:rPr>
          <w:rFonts w:ascii="宋体" w:cs="Times New Roman"/>
          <w:sz w:val="24"/>
          <w:szCs w:val="24"/>
        </w:rPr>
      </w:pPr>
      <w:r>
        <w:rPr>
          <w:rFonts w:hint="eastAsia" w:ascii="宋体" w:hAnsi="宋体" w:cs="宋体"/>
          <w:sz w:val="24"/>
          <w:szCs w:val="24"/>
        </w:rPr>
        <w:t>3、服务部分响应；</w:t>
      </w:r>
    </w:p>
    <w:p>
      <w:pPr>
        <w:autoSpaceDE w:val="0"/>
        <w:autoSpaceDN w:val="0"/>
        <w:adjustRightInd w:val="0"/>
        <w:spacing w:line="360" w:lineRule="auto"/>
        <w:ind w:right="246" w:firstLine="480" w:firstLineChars="200"/>
        <w:rPr>
          <w:rFonts w:ascii="宋体" w:cs="Times New Roman"/>
          <w:sz w:val="24"/>
          <w:szCs w:val="24"/>
        </w:rPr>
      </w:pPr>
      <w:r>
        <w:rPr>
          <w:rFonts w:hint="eastAsia" w:ascii="宋体" w:hAnsi="宋体" w:cs="宋体"/>
          <w:sz w:val="24"/>
          <w:szCs w:val="24"/>
        </w:rPr>
        <w:t>4、按招标文件投标人须知和技术规格要求提供的有关文件；</w:t>
      </w:r>
    </w:p>
    <w:p>
      <w:pPr>
        <w:autoSpaceDE w:val="0"/>
        <w:autoSpaceDN w:val="0"/>
        <w:adjustRightInd w:val="0"/>
        <w:spacing w:line="360" w:lineRule="auto"/>
        <w:ind w:right="246" w:firstLine="480" w:firstLineChars="200"/>
        <w:rPr>
          <w:rFonts w:ascii="宋体" w:cs="Times New Roman"/>
          <w:sz w:val="24"/>
          <w:szCs w:val="24"/>
        </w:rPr>
      </w:pPr>
      <w:r>
        <w:rPr>
          <w:rFonts w:hint="eastAsia" w:ascii="宋体" w:hAnsi="宋体" w:cs="宋体"/>
          <w:sz w:val="24"/>
          <w:szCs w:val="24"/>
        </w:rPr>
        <w:t>5、资格证明文件。</w:t>
      </w:r>
    </w:p>
    <w:p>
      <w:pPr>
        <w:autoSpaceDE w:val="0"/>
        <w:autoSpaceDN w:val="0"/>
        <w:adjustRightInd w:val="0"/>
        <w:spacing w:line="360" w:lineRule="auto"/>
        <w:ind w:right="32" w:firstLine="360" w:firstLineChars="150"/>
        <w:rPr>
          <w:rFonts w:ascii="宋体" w:cs="Times New Roman"/>
          <w:sz w:val="24"/>
          <w:szCs w:val="24"/>
        </w:rPr>
      </w:pPr>
      <w:r>
        <w:rPr>
          <w:rFonts w:hint="eastAsia" w:ascii="宋体" w:hAnsi="宋体" w:cs="宋体"/>
          <w:sz w:val="24"/>
          <w:szCs w:val="24"/>
        </w:rPr>
        <w:t>在此，我方宣布同意如下：</w:t>
      </w:r>
    </w:p>
    <w:p>
      <w:pPr>
        <w:autoSpaceDE w:val="0"/>
        <w:autoSpaceDN w:val="0"/>
        <w:adjustRightInd w:val="0"/>
        <w:spacing w:line="360" w:lineRule="auto"/>
        <w:ind w:right="28"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、承认和愿意按照招标文件的各项规定和要求，提供本招标范围内的所有服务，并不断改善服务条件和提高服务水平；</w:t>
      </w:r>
    </w:p>
    <w:p>
      <w:pPr>
        <w:snapToGri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投标人已详细阅读全部招标文件以及全部参考资料和有关附件。我们已经完全理解了招标文件中的各项内容和执行机构、投标人的各项权利义务的真实含义，并承诺，在发生争议时不会以对招标文件存在误解、不明为由，对贵单位行使任何法律上的抗辩权；</w:t>
      </w:r>
    </w:p>
    <w:p>
      <w:pPr>
        <w:autoSpaceDE w:val="0"/>
        <w:autoSpaceDN w:val="0"/>
        <w:adjustRightInd w:val="0"/>
        <w:spacing w:line="360" w:lineRule="auto"/>
        <w:ind w:right="28"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、已详细审查全部招标文件，包括</w:t>
      </w:r>
      <w:r>
        <w:rPr>
          <w:rFonts w:ascii="宋体" w:hAnsi="宋体" w:cs="宋体"/>
          <w:sz w:val="24"/>
          <w:szCs w:val="24"/>
          <w:u w:val="single"/>
        </w:rPr>
        <w:t>(</w:t>
      </w:r>
      <w:r>
        <w:rPr>
          <w:rFonts w:hint="eastAsia" w:ascii="宋体" w:hAnsi="宋体" w:cs="宋体"/>
          <w:sz w:val="24"/>
          <w:szCs w:val="24"/>
          <w:u w:val="single"/>
        </w:rPr>
        <w:t>补遗书</w:t>
      </w:r>
      <w:r>
        <w:rPr>
          <w:rFonts w:ascii="宋体" w:hAnsi="宋体" w:cs="宋体"/>
          <w:sz w:val="24"/>
          <w:szCs w:val="24"/>
          <w:u w:val="single"/>
        </w:rPr>
        <w:t>)(</w:t>
      </w:r>
      <w:r>
        <w:rPr>
          <w:rFonts w:hint="eastAsia" w:ascii="宋体" w:hAnsi="宋体" w:cs="宋体"/>
          <w:sz w:val="24"/>
          <w:szCs w:val="24"/>
          <w:u w:val="single"/>
        </w:rPr>
        <w:t>如果有的话</w:t>
      </w:r>
      <w:r>
        <w:rPr>
          <w:rFonts w:ascii="宋体" w:hAnsi="宋体" w:cs="宋体"/>
          <w:sz w:val="24"/>
          <w:szCs w:val="24"/>
          <w:u w:val="single"/>
        </w:rPr>
        <w:t>)</w:t>
      </w:r>
      <w:r>
        <w:rPr>
          <w:rFonts w:hint="eastAsia" w:ascii="宋体" w:hAnsi="宋体" w:cs="宋体"/>
          <w:sz w:val="24"/>
          <w:szCs w:val="24"/>
        </w:rPr>
        <w:t>，对此无异议。</w:t>
      </w:r>
    </w:p>
    <w:p>
      <w:pPr>
        <w:autoSpaceDE w:val="0"/>
        <w:autoSpaceDN w:val="0"/>
        <w:adjustRightInd w:val="0"/>
        <w:spacing w:line="360" w:lineRule="auto"/>
        <w:ind w:right="28"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、接受招标文件所列关于没收投标保证金的约定。</w:t>
      </w:r>
    </w:p>
    <w:p>
      <w:pPr>
        <w:autoSpaceDE w:val="0"/>
        <w:autoSpaceDN w:val="0"/>
        <w:adjustRightInd w:val="0"/>
        <w:spacing w:line="360" w:lineRule="auto"/>
        <w:ind w:right="28"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、同意提供按照贵方可能要求的与其投标有关的一切数据或资料。</w:t>
      </w:r>
    </w:p>
    <w:p>
      <w:pPr>
        <w:autoSpaceDE w:val="0"/>
        <w:autoSpaceDN w:val="0"/>
        <w:adjustRightInd w:val="0"/>
        <w:spacing w:line="360" w:lineRule="auto"/>
        <w:ind w:left="798" w:leftChars="399" w:right="246"/>
        <w:rPr>
          <w:rFonts w:ascii="宋体" w:cs="Times New Roman"/>
          <w:sz w:val="24"/>
          <w:szCs w:val="24"/>
          <w:u w:val="single"/>
        </w:rPr>
      </w:pPr>
      <w:r>
        <w:rPr>
          <w:rFonts w:hint="eastAsia" w:ascii="宋体" w:hAnsi="宋体" w:cs="宋体"/>
          <w:sz w:val="24"/>
          <w:szCs w:val="24"/>
        </w:rPr>
        <w:t>投标人：</w:t>
      </w:r>
    </w:p>
    <w:p>
      <w:pPr>
        <w:autoSpaceDE w:val="0"/>
        <w:autoSpaceDN w:val="0"/>
        <w:adjustRightInd w:val="0"/>
        <w:spacing w:line="360" w:lineRule="auto"/>
        <w:ind w:left="798" w:leftChars="399" w:right="246"/>
        <w:rPr>
          <w:rFonts w:ascii="宋体" w:cs="Times New Roman"/>
          <w:sz w:val="24"/>
          <w:szCs w:val="24"/>
        </w:rPr>
      </w:pPr>
      <w:r>
        <w:rPr>
          <w:rFonts w:hint="eastAsia" w:ascii="宋体" w:hAnsi="宋体" w:cs="宋体"/>
          <w:sz w:val="24"/>
          <w:szCs w:val="24"/>
        </w:rPr>
        <w:t>地址：</w:t>
      </w:r>
    </w:p>
    <w:p>
      <w:pPr>
        <w:autoSpaceDE w:val="0"/>
        <w:autoSpaceDN w:val="0"/>
        <w:adjustRightInd w:val="0"/>
        <w:spacing w:line="360" w:lineRule="auto"/>
        <w:ind w:left="798" w:leftChars="399" w:right="246"/>
        <w:rPr>
          <w:rFonts w:ascii="宋体" w:cs="Times New Roman"/>
          <w:sz w:val="24"/>
          <w:szCs w:val="24"/>
          <w:u w:val="single"/>
        </w:rPr>
      </w:pPr>
      <w:r>
        <w:rPr>
          <w:rFonts w:hint="eastAsia" w:ascii="宋体" w:hAnsi="宋体" w:cs="宋体"/>
          <w:sz w:val="24"/>
          <w:szCs w:val="24"/>
        </w:rPr>
        <w:t>传真：</w:t>
      </w:r>
    </w:p>
    <w:p>
      <w:pPr>
        <w:autoSpaceDE w:val="0"/>
        <w:autoSpaceDN w:val="0"/>
        <w:adjustRightInd w:val="0"/>
        <w:spacing w:line="360" w:lineRule="auto"/>
        <w:ind w:left="798" w:leftChars="399" w:right="246"/>
        <w:rPr>
          <w:rFonts w:ascii="宋体" w:cs="Times New Roman"/>
          <w:sz w:val="24"/>
          <w:szCs w:val="24"/>
        </w:rPr>
      </w:pPr>
      <w:r>
        <w:rPr>
          <w:rFonts w:hint="eastAsia" w:ascii="宋体" w:hAnsi="宋体" w:cs="宋体"/>
          <w:sz w:val="24"/>
          <w:szCs w:val="24"/>
        </w:rPr>
        <w:t>电话：</w:t>
      </w:r>
    </w:p>
    <w:p>
      <w:pPr>
        <w:autoSpaceDE w:val="0"/>
        <w:autoSpaceDN w:val="0"/>
        <w:adjustRightInd w:val="0"/>
        <w:spacing w:line="360" w:lineRule="auto"/>
        <w:ind w:left="798" w:leftChars="399" w:right="246"/>
        <w:rPr>
          <w:rFonts w:ascii="宋体" w:cs="Times New Roman"/>
          <w:sz w:val="24"/>
          <w:szCs w:val="24"/>
          <w:u w:val="single"/>
        </w:rPr>
      </w:pPr>
      <w:r>
        <w:rPr>
          <w:rFonts w:hint="eastAsia" w:ascii="宋体" w:hAnsi="宋体" w:cs="宋体"/>
          <w:sz w:val="24"/>
          <w:szCs w:val="24"/>
        </w:rPr>
        <w:t>电子函件：</w:t>
      </w:r>
    </w:p>
    <w:p>
      <w:pPr>
        <w:autoSpaceDE w:val="0"/>
        <w:autoSpaceDN w:val="0"/>
        <w:adjustRightInd w:val="0"/>
        <w:spacing w:line="360" w:lineRule="auto"/>
        <w:ind w:left="798" w:leftChars="399" w:right="246"/>
        <w:rPr>
          <w:rFonts w:ascii="宋体" w:cs="Times New Roman"/>
          <w:sz w:val="24"/>
          <w:szCs w:val="24"/>
          <w:u w:val="single"/>
        </w:rPr>
      </w:pPr>
      <w:r>
        <w:rPr>
          <w:rFonts w:hint="eastAsia" w:ascii="宋体" w:hAnsi="宋体" w:cs="宋体"/>
          <w:sz w:val="24"/>
          <w:szCs w:val="24"/>
        </w:rPr>
        <w:t>投标人</w:t>
      </w:r>
      <w:r>
        <w:rPr>
          <w:rFonts w:ascii="宋体" w:hAnsi="宋体" w:cs="宋体"/>
          <w:sz w:val="24"/>
          <w:szCs w:val="24"/>
        </w:rPr>
        <w:t>(</w:t>
      </w:r>
      <w:r>
        <w:rPr>
          <w:rFonts w:hint="eastAsia" w:ascii="宋体" w:hAnsi="宋体" w:cs="宋体"/>
          <w:sz w:val="24"/>
          <w:szCs w:val="24"/>
        </w:rPr>
        <w:t>授权</w:t>
      </w:r>
      <w:r>
        <w:rPr>
          <w:rFonts w:ascii="宋体" w:hAnsi="宋体" w:cs="宋体"/>
          <w:sz w:val="24"/>
          <w:szCs w:val="24"/>
        </w:rPr>
        <w:t>)</w:t>
      </w:r>
      <w:r>
        <w:rPr>
          <w:rFonts w:hint="eastAsia" w:ascii="宋体" w:hAnsi="宋体" w:cs="宋体"/>
          <w:sz w:val="24"/>
          <w:szCs w:val="24"/>
        </w:rPr>
        <w:t>代表</w:t>
      </w:r>
      <w:r>
        <w:rPr>
          <w:rFonts w:hint="eastAsia" w:ascii="宋体" w:hAnsi="宋体" w:cs="宋体"/>
          <w:sz w:val="24"/>
          <w:szCs w:val="24"/>
          <w:lang w:val="en-US" w:eastAsia="zh-CN"/>
        </w:rPr>
        <w:t>(</w:t>
      </w:r>
      <w:r>
        <w:rPr>
          <w:rFonts w:hint="eastAsia" w:ascii="宋体" w:hAnsi="宋体" w:cs="宋体"/>
          <w:sz w:val="24"/>
          <w:szCs w:val="24"/>
        </w:rPr>
        <w:t>签字</w:t>
      </w:r>
      <w:r>
        <w:rPr>
          <w:rFonts w:hint="eastAsia" w:ascii="宋体" w:hAnsi="宋体" w:cs="宋体"/>
          <w:sz w:val="24"/>
          <w:szCs w:val="24"/>
          <w:lang w:val="en-US" w:eastAsia="zh-CN"/>
        </w:rPr>
        <w:t>)</w:t>
      </w:r>
      <w:r>
        <w:rPr>
          <w:rFonts w:hint="eastAsia" w:ascii="宋体" w:hAnsi="宋体" w:cs="宋体"/>
          <w:sz w:val="24"/>
          <w:szCs w:val="24"/>
        </w:rPr>
        <w:t>：</w:t>
      </w:r>
    </w:p>
    <w:p>
      <w:pPr>
        <w:autoSpaceDE w:val="0"/>
        <w:autoSpaceDN w:val="0"/>
        <w:adjustRightInd w:val="0"/>
        <w:spacing w:line="360" w:lineRule="auto"/>
        <w:ind w:left="798" w:leftChars="399" w:right="246"/>
        <w:rPr>
          <w:rFonts w:ascii="宋体" w:cs="Times New Roman"/>
          <w:sz w:val="24"/>
          <w:szCs w:val="24"/>
          <w:u w:val="single"/>
        </w:rPr>
      </w:pPr>
      <w:r>
        <w:rPr>
          <w:rFonts w:hint="eastAsia" w:ascii="宋体" w:hAnsi="宋体" w:cs="宋体"/>
          <w:sz w:val="24"/>
          <w:szCs w:val="24"/>
        </w:rPr>
        <w:t>投标人名称</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w:t>
      </w:r>
      <w:r>
        <w:rPr>
          <w:rFonts w:hint="eastAsia" w:ascii="宋体" w:hAnsi="宋体" w:cs="宋体"/>
          <w:sz w:val="24"/>
          <w:szCs w:val="24"/>
        </w:rPr>
        <w:t>：</w:t>
      </w:r>
    </w:p>
    <w:p>
      <w:pPr>
        <w:autoSpaceDE w:val="0"/>
        <w:autoSpaceDN w:val="0"/>
        <w:adjustRightInd w:val="0"/>
        <w:spacing w:line="360" w:lineRule="auto"/>
        <w:ind w:left="798" w:leftChars="399" w:right="246"/>
        <w:rPr>
          <w:rFonts w:ascii="宋体" w:cs="Times New Roman"/>
          <w:sz w:val="24"/>
          <w:szCs w:val="24"/>
          <w:u w:val="single"/>
        </w:rPr>
      </w:pPr>
      <w:r>
        <w:rPr>
          <w:rFonts w:hint="eastAsia" w:ascii="宋体" w:hAnsi="宋体" w:cs="宋体"/>
          <w:sz w:val="24"/>
          <w:szCs w:val="24"/>
        </w:rPr>
        <w:t>日期：</w:t>
      </w:r>
    </w:p>
    <w:p>
      <w:pPr>
        <w:autoSpaceDE w:val="0"/>
        <w:autoSpaceDN w:val="0"/>
        <w:adjustRightInd w:val="0"/>
        <w:spacing w:line="360" w:lineRule="auto"/>
        <w:ind w:left="798" w:leftChars="399" w:right="246"/>
        <w:rPr>
          <w:rFonts w:ascii="宋体" w:hAnsi="宋体" w:cs="宋体"/>
          <w:sz w:val="24"/>
          <w:szCs w:val="24"/>
        </w:rPr>
      </w:pPr>
      <w:r>
        <w:rPr>
          <w:rFonts w:hint="eastAsia" w:ascii="宋体" w:hAnsi="宋体" w:cs="宋体"/>
          <w:sz w:val="24"/>
          <w:szCs w:val="24"/>
        </w:rPr>
        <w:t>开户银行</w:t>
      </w:r>
      <w:r>
        <w:rPr>
          <w:rFonts w:ascii="宋体" w:hAnsi="宋体" w:cs="宋体"/>
          <w:sz w:val="24"/>
          <w:szCs w:val="24"/>
        </w:rPr>
        <w:t>:</w:t>
      </w:r>
    </w:p>
    <w:p>
      <w:pPr>
        <w:autoSpaceDE w:val="0"/>
        <w:autoSpaceDN w:val="0"/>
        <w:adjustRightInd w:val="0"/>
        <w:spacing w:line="360" w:lineRule="auto"/>
        <w:ind w:left="798" w:leftChars="399" w:right="246"/>
        <w:rPr>
          <w:rFonts w:ascii="宋体" w:hAnsi="宋体" w:cs="宋体"/>
          <w:sz w:val="24"/>
          <w:szCs w:val="24"/>
        </w:rPr>
      </w:pPr>
      <w:r>
        <w:rPr>
          <w:rFonts w:hint="eastAsia" w:ascii="宋体" w:hAnsi="宋体" w:cs="宋体"/>
          <w:sz w:val="24"/>
          <w:szCs w:val="24"/>
        </w:rPr>
        <w:t>帐号</w:t>
      </w:r>
      <w:r>
        <w:rPr>
          <w:rFonts w:ascii="宋体" w:hAnsi="宋体" w:cs="宋体"/>
          <w:sz w:val="24"/>
          <w:szCs w:val="24"/>
        </w:rPr>
        <w:t>:</w:t>
      </w:r>
    </w:p>
    <w:p>
      <w:pPr>
        <w:autoSpaceDE w:val="0"/>
        <w:autoSpaceDN w:val="0"/>
        <w:adjustRightInd w:val="0"/>
        <w:spacing w:line="360" w:lineRule="auto"/>
        <w:ind w:left="798" w:leftChars="399" w:right="246"/>
        <w:rPr>
          <w:rFonts w:ascii="宋体" w:cs="Times New Roman"/>
          <w:sz w:val="24"/>
          <w:szCs w:val="24"/>
          <w:u w:val="single"/>
        </w:rPr>
      </w:pPr>
      <w:r>
        <w:rPr>
          <w:rFonts w:hint="eastAsia" w:ascii="宋体" w:hAnsi="宋体" w:cs="宋体"/>
          <w:sz w:val="24"/>
          <w:szCs w:val="24"/>
        </w:rPr>
        <w:t>税号：</w:t>
      </w:r>
    </w:p>
    <w:p>
      <w:pPr>
        <w:rPr>
          <w:rStyle w:val="32"/>
          <w:rFonts w:cs="宋体"/>
        </w:rPr>
      </w:pPr>
      <w:r>
        <w:rPr>
          <w:rStyle w:val="32"/>
          <w:rFonts w:cs="宋体"/>
        </w:rPr>
        <w:br w:type="page"/>
      </w:r>
    </w:p>
    <w:p>
      <w:pPr>
        <w:adjustRightInd w:val="0"/>
        <w:spacing w:line="400" w:lineRule="exact"/>
        <w:jc w:val="center"/>
        <w:rPr>
          <w:rStyle w:val="32"/>
          <w:rFonts w:hint="eastAsia" w:cs="宋体"/>
        </w:rPr>
      </w:pPr>
      <w:r>
        <w:rPr>
          <w:rStyle w:val="32"/>
          <w:rFonts w:hint="eastAsia" w:cs="宋体"/>
        </w:rPr>
        <w:t>投标函（格式）</w:t>
      </w:r>
    </w:p>
    <w:p>
      <w:pPr>
        <w:adjustRightInd w:val="0"/>
        <w:spacing w:line="400" w:lineRule="exact"/>
        <w:jc w:val="center"/>
        <w:rPr>
          <w:rStyle w:val="32"/>
          <w:rFonts w:hint="eastAsia" w:cs="宋体"/>
        </w:rPr>
      </w:pPr>
    </w:p>
    <w:p>
      <w:pPr>
        <w:adjustRightInd w:val="0"/>
        <w:snapToGrid w:val="0"/>
        <w:spacing w:line="360" w:lineRule="auto"/>
        <w:rPr>
          <w:rFonts w:ascii="宋体" w:cs="Times New Roman"/>
          <w:sz w:val="24"/>
          <w:szCs w:val="24"/>
          <w:u w:val="single"/>
        </w:rPr>
      </w:pPr>
      <w:bookmarkStart w:id="20" w:name="_Toc141675440"/>
      <w:r>
        <w:rPr>
          <w:rFonts w:hint="eastAsia" w:ascii="宋体" w:hAnsi="宋体" w:cs="宋体"/>
          <w:sz w:val="24"/>
          <w:szCs w:val="24"/>
        </w:rPr>
        <w:t>致：</w:t>
      </w:r>
      <w:r>
        <w:rPr>
          <w:rFonts w:hint="eastAsia" w:ascii="宋体" w:hAnsi="宋体" w:cs="宋体"/>
          <w:sz w:val="24"/>
          <w:szCs w:val="24"/>
          <w:u w:val="single"/>
        </w:rPr>
        <w:t>重庆</w:t>
      </w:r>
      <w:r>
        <w:rPr>
          <w:rFonts w:hint="eastAsia" w:ascii="宋体" w:hAnsi="宋体" w:cs="宋体"/>
          <w:sz w:val="24"/>
          <w:szCs w:val="24"/>
          <w:u w:val="single"/>
          <w:lang w:eastAsia="zh-CN"/>
        </w:rPr>
        <w:t>莘莘餐饮管理有限公司</w:t>
      </w:r>
      <w:r>
        <w:rPr>
          <w:rFonts w:hint="eastAsia" w:ascii="宋体" w:hAnsi="宋体" w:cs="宋体"/>
          <w:sz w:val="24"/>
          <w:szCs w:val="24"/>
          <w:u w:val="single"/>
        </w:rPr>
        <w:t>（招标人）</w:t>
      </w:r>
    </w:p>
    <w:p>
      <w:pPr>
        <w:spacing w:line="600" w:lineRule="exact"/>
        <w:ind w:firstLine="480" w:firstLineChars="200"/>
        <w:rPr>
          <w:rFonts w:cs="宋体" w:asciiTheme="minorEastAsia" w:hAnsiTheme="minorEastAsia" w:eastAsiaTheme="minorEastAsia"/>
          <w:b/>
          <w:bCs/>
          <w:sz w:val="24"/>
          <w:szCs w:val="24"/>
        </w:rPr>
      </w:pPr>
      <w:r>
        <w:rPr>
          <w:rFonts w:hint="eastAsia" w:ascii="宋体" w:hAnsi="宋体" w:cs="宋体"/>
          <w:sz w:val="24"/>
          <w:szCs w:val="24"/>
        </w:rPr>
        <w:t>我方已仔细研究了</w:t>
      </w:r>
      <w:r>
        <w:rPr>
          <w:rFonts w:hint="eastAsia" w:ascii="宋体" w:hAnsi="宋体" w:cs="宋体"/>
          <w:sz w:val="24"/>
          <w:szCs w:val="24"/>
          <w:u w:val="single"/>
        </w:rPr>
        <w:t>（项目名称、包XX）</w:t>
      </w:r>
      <w:r>
        <w:rPr>
          <w:rFonts w:hint="eastAsia" w:ascii="宋体" w:hAnsi="宋体" w:cs="宋体"/>
          <w:sz w:val="24"/>
          <w:szCs w:val="24"/>
        </w:rPr>
        <w:t>招标文件的全部内容，我单位愿意按照招标文件中的一切要求，决定参加该项目标包的投标，并提供本项目的技术服务。我方承诺按照第三章采购项目技术及商务要求中第五条</w:t>
      </w:r>
      <w:r>
        <w:rPr>
          <w:rFonts w:hint="eastAsia" w:cs="Times New Roman" w:asciiTheme="minorEastAsia" w:hAnsiTheme="minorEastAsia" w:eastAsiaTheme="minorEastAsia"/>
          <w:bCs/>
          <w:sz w:val="24"/>
          <w:szCs w:val="24"/>
        </w:rPr>
        <w:t>原材料定价基本原则及方式</w:t>
      </w:r>
      <w:r>
        <w:rPr>
          <w:rFonts w:hint="eastAsia" w:ascii="宋体" w:hAnsi="宋体" w:cs="宋体"/>
          <w:sz w:val="24"/>
          <w:szCs w:val="24"/>
        </w:rPr>
        <w:t>的规定进行物资定价和价格调整，并且供货价格</w:t>
      </w:r>
      <w:r>
        <w:rPr>
          <w:rFonts w:hint="eastAsia" w:ascii="宋体" w:hAnsi="宋体" w:cs="宋体"/>
          <w:sz w:val="24"/>
          <w:szCs w:val="24"/>
          <w:lang w:eastAsia="zh-CN"/>
        </w:rPr>
        <w:t>不得高于市场均价</w:t>
      </w:r>
      <w:r>
        <w:rPr>
          <w:rFonts w:hint="eastAsia" w:ascii="宋体" w:hAnsi="宋体" w:cs="宋体"/>
          <w:sz w:val="24"/>
          <w:szCs w:val="24"/>
        </w:rPr>
        <w:t>，中标后按合同约定完成</w:t>
      </w:r>
      <w:r>
        <w:rPr>
          <w:rFonts w:hint="eastAsia" w:asciiTheme="minorEastAsia" w:hAnsiTheme="minorEastAsia" w:eastAsiaTheme="minorEastAsia"/>
          <w:sz w:val="24"/>
          <w:szCs w:val="24"/>
          <w:lang w:eastAsia="zh-CN"/>
        </w:rPr>
        <w:t>重庆商务职业学院</w:t>
      </w:r>
      <w:r>
        <w:rPr>
          <w:rFonts w:hint="eastAsia" w:ascii="宋体" w:hAnsi="宋体" w:cs="宋体"/>
          <w:sz w:val="24"/>
          <w:szCs w:val="24"/>
        </w:rPr>
        <w:t>食堂原材料配送服务招标采购项目。</w:t>
      </w:r>
    </w:p>
    <w:p>
      <w:pPr>
        <w:adjustRightInd w:val="0"/>
        <w:spacing w:line="360" w:lineRule="auto"/>
        <w:ind w:firstLine="480" w:firstLineChars="200"/>
        <w:rPr>
          <w:rFonts w:ascii="宋体" w:cs="Times New Roman"/>
          <w:sz w:val="24"/>
          <w:szCs w:val="24"/>
        </w:rPr>
      </w:pPr>
    </w:p>
    <w:p>
      <w:pPr>
        <w:adjustRightInd w:val="0"/>
        <w:spacing w:line="360" w:lineRule="auto"/>
        <w:rPr>
          <w:rFonts w:ascii="宋体" w:cs="Times New Roman"/>
          <w:sz w:val="24"/>
          <w:szCs w:val="24"/>
        </w:rPr>
      </w:pPr>
      <w:r>
        <w:rPr>
          <w:rFonts w:hint="eastAsia" w:ascii="宋体" w:hAnsi="宋体" w:cs="宋体"/>
          <w:sz w:val="24"/>
          <w:szCs w:val="24"/>
        </w:rPr>
        <w:t>我方已充分理解了该投招标件的全部内容，为此，我方就以下内容做出承诺：</w:t>
      </w:r>
    </w:p>
    <w:p>
      <w:pPr>
        <w:adjustRightInd w:val="0"/>
        <w:spacing w:line="360" w:lineRule="auto"/>
        <w:ind w:firstLine="480" w:firstLineChars="200"/>
        <w:rPr>
          <w:rFonts w:ascii="宋体" w:cs="Times New Roman"/>
          <w:sz w:val="24"/>
          <w:szCs w:val="24"/>
        </w:rPr>
      </w:pPr>
      <w:r>
        <w:rPr>
          <w:rFonts w:ascii="宋体" w:hAnsi="宋体" w:cs="宋体"/>
          <w:sz w:val="24"/>
          <w:szCs w:val="24"/>
        </w:rPr>
        <w:t>1</w:t>
      </w:r>
      <w:r>
        <w:rPr>
          <w:rFonts w:hint="eastAsia" w:ascii="宋体" w:hAnsi="宋体" w:cs="宋体"/>
          <w:sz w:val="24"/>
          <w:szCs w:val="24"/>
        </w:rPr>
        <w:t>．我方按照招标文件的要求，提供全部投标文件；</w:t>
      </w:r>
    </w:p>
    <w:p>
      <w:pPr>
        <w:adjustRightInd w:val="0"/>
        <w:spacing w:line="360" w:lineRule="auto"/>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．我方已详细审查了全部招标文件，包括修改文件（如有的话）以及全部参考资料和有关附件，我们完全理解和完全响应上述文件的内容，并同意放弃对上述文件的内容有不明及误解的追究权利；</w:t>
      </w:r>
    </w:p>
    <w:p>
      <w:pPr>
        <w:adjustRightInd w:val="0"/>
        <w:spacing w:line="360" w:lineRule="auto"/>
        <w:ind w:firstLine="480" w:firstLineChars="200"/>
        <w:rPr>
          <w:rFonts w:ascii="宋体" w:cs="Times New Roman"/>
          <w:sz w:val="24"/>
          <w:szCs w:val="24"/>
        </w:rPr>
      </w:pPr>
      <w:r>
        <w:rPr>
          <w:rFonts w:ascii="宋体" w:hAnsi="宋体" w:cs="宋体"/>
          <w:sz w:val="24"/>
          <w:szCs w:val="24"/>
        </w:rPr>
        <w:t>3</w:t>
      </w:r>
      <w:r>
        <w:rPr>
          <w:rFonts w:hint="eastAsia" w:ascii="宋体" w:hAnsi="宋体" w:cs="宋体"/>
          <w:sz w:val="24"/>
          <w:szCs w:val="24"/>
        </w:rPr>
        <w:t>．我方承诺我们的投标文件中全部资料是真实的准确的，若有违背，我方将承担由此造成的一切后果；</w:t>
      </w:r>
    </w:p>
    <w:p>
      <w:pPr>
        <w:adjustRightInd w:val="0"/>
        <w:spacing w:line="360" w:lineRule="auto"/>
        <w:ind w:firstLine="480" w:firstLineChars="200"/>
        <w:rPr>
          <w:rFonts w:ascii="宋体" w:cs="Times New Roman"/>
          <w:sz w:val="24"/>
          <w:szCs w:val="24"/>
        </w:rPr>
      </w:pPr>
      <w:r>
        <w:rPr>
          <w:rFonts w:ascii="宋体" w:hAnsi="宋体" w:cs="宋体"/>
          <w:sz w:val="24"/>
          <w:szCs w:val="24"/>
        </w:rPr>
        <w:t>4</w:t>
      </w:r>
      <w:r>
        <w:rPr>
          <w:rFonts w:hint="eastAsia" w:ascii="宋体" w:hAnsi="宋体" w:cs="宋体"/>
          <w:sz w:val="24"/>
          <w:szCs w:val="24"/>
        </w:rPr>
        <w:t>．我方的响应有效期为：自召开开标会之日起</w:t>
      </w:r>
      <w:r>
        <w:rPr>
          <w:rFonts w:ascii="宋体" w:hAnsi="宋体" w:cs="宋体"/>
          <w:sz w:val="24"/>
          <w:szCs w:val="24"/>
          <w:u w:val="single"/>
        </w:rPr>
        <w:t>90</w:t>
      </w:r>
      <w:r>
        <w:rPr>
          <w:rFonts w:hint="eastAsia" w:ascii="宋体" w:hAnsi="宋体" w:cs="宋体"/>
          <w:sz w:val="24"/>
          <w:szCs w:val="24"/>
        </w:rPr>
        <w:t>个日历天；</w:t>
      </w:r>
    </w:p>
    <w:p>
      <w:pPr>
        <w:adjustRightInd w:val="0"/>
        <w:spacing w:line="360" w:lineRule="auto"/>
        <w:ind w:firstLine="480" w:firstLineChars="200"/>
        <w:rPr>
          <w:rFonts w:ascii="宋体" w:cs="Times New Roman"/>
          <w:sz w:val="24"/>
          <w:szCs w:val="24"/>
        </w:rPr>
      </w:pPr>
      <w:r>
        <w:rPr>
          <w:rFonts w:ascii="宋体" w:hAnsi="宋体" w:cs="宋体"/>
          <w:sz w:val="24"/>
          <w:szCs w:val="24"/>
        </w:rPr>
        <w:t>5</w:t>
      </w:r>
      <w:r>
        <w:rPr>
          <w:rFonts w:hint="eastAsia" w:ascii="宋体" w:hAnsi="宋体" w:cs="宋体"/>
          <w:sz w:val="24"/>
          <w:szCs w:val="24"/>
        </w:rPr>
        <w:t>．如果我方中标，我方将按投招标文件的规定履行合同责任和义务；</w:t>
      </w:r>
    </w:p>
    <w:p>
      <w:pPr>
        <w:adjustRightInd w:val="0"/>
        <w:spacing w:line="360" w:lineRule="auto"/>
        <w:ind w:firstLine="480" w:firstLineChars="200"/>
        <w:rPr>
          <w:rFonts w:ascii="宋体" w:cs="Times New Roman"/>
          <w:sz w:val="24"/>
          <w:szCs w:val="24"/>
        </w:rPr>
      </w:pPr>
      <w:r>
        <w:rPr>
          <w:rFonts w:ascii="宋体" w:hAnsi="宋体" w:cs="宋体"/>
          <w:sz w:val="24"/>
          <w:szCs w:val="24"/>
        </w:rPr>
        <w:t>6</w:t>
      </w:r>
      <w:r>
        <w:rPr>
          <w:rFonts w:hint="eastAsia" w:ascii="宋体" w:hAnsi="宋体" w:cs="宋体"/>
          <w:sz w:val="24"/>
          <w:szCs w:val="24"/>
        </w:rPr>
        <w:t>．如果我方中标，我方将接受学校相关部门的管理要求。</w:t>
      </w:r>
    </w:p>
    <w:p>
      <w:pPr>
        <w:adjustRightInd w:val="0"/>
        <w:spacing w:line="400" w:lineRule="exact"/>
        <w:ind w:firstLine="480" w:firstLineChars="200"/>
        <w:rPr>
          <w:rFonts w:ascii="宋体" w:cs="Times New Roman"/>
          <w:sz w:val="24"/>
          <w:szCs w:val="24"/>
        </w:rPr>
      </w:pPr>
    </w:p>
    <w:p>
      <w:pPr>
        <w:adjustRightInd w:val="0"/>
        <w:spacing w:line="400" w:lineRule="exact"/>
        <w:ind w:firstLine="480" w:firstLineChars="200"/>
        <w:rPr>
          <w:rFonts w:ascii="宋体" w:cs="Times New Roman"/>
          <w:color w:val="FF0000"/>
          <w:sz w:val="24"/>
          <w:szCs w:val="24"/>
        </w:rPr>
      </w:pPr>
    </w:p>
    <w:p>
      <w:pPr>
        <w:adjustRightInd w:val="0"/>
        <w:spacing w:line="400" w:lineRule="exact"/>
        <w:ind w:firstLine="480" w:firstLineChars="200"/>
        <w:rPr>
          <w:rFonts w:ascii="宋体" w:cs="Times New Roman"/>
          <w:sz w:val="24"/>
          <w:szCs w:val="24"/>
        </w:rPr>
      </w:pPr>
      <w:r>
        <w:rPr>
          <w:rFonts w:hint="eastAsia" w:ascii="宋体" w:hAnsi="宋体" w:cs="宋体"/>
          <w:sz w:val="24"/>
          <w:szCs w:val="24"/>
        </w:rPr>
        <w:t>投标人</w:t>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ascii="宋体" w:cs="Times New Roman"/>
          <w:sz w:val="24"/>
          <w:szCs w:val="24"/>
        </w:rPr>
        <w:softHyphen/>
      </w:r>
      <w:r>
        <w:rPr>
          <w:rFonts w:hint="eastAsia" w:ascii="宋体" w:hAnsi="宋体" w:cs="宋体"/>
          <w:sz w:val="24"/>
          <w:szCs w:val="24"/>
        </w:rPr>
        <w:t>：（盖单位公章）</w:t>
      </w:r>
    </w:p>
    <w:p>
      <w:pPr>
        <w:adjustRightInd w:val="0"/>
        <w:spacing w:line="400" w:lineRule="exact"/>
        <w:ind w:firstLine="480" w:firstLineChars="200"/>
        <w:rPr>
          <w:rFonts w:ascii="宋体" w:cs="Times New Roman"/>
          <w:sz w:val="24"/>
          <w:szCs w:val="24"/>
        </w:rPr>
      </w:pPr>
    </w:p>
    <w:p>
      <w:pPr>
        <w:adjustRightInd w:val="0"/>
        <w:spacing w:line="400" w:lineRule="exact"/>
        <w:ind w:firstLine="480" w:firstLineChars="200"/>
        <w:rPr>
          <w:rFonts w:ascii="宋体" w:cs="Times New Roman"/>
          <w:sz w:val="24"/>
          <w:szCs w:val="24"/>
        </w:rPr>
      </w:pPr>
      <w:r>
        <w:rPr>
          <w:rFonts w:hint="eastAsia" w:ascii="宋体" w:hAnsi="宋体" w:cs="宋体"/>
          <w:sz w:val="24"/>
          <w:szCs w:val="24"/>
        </w:rPr>
        <w:t>法定代表人或其授权委托人：（</w:t>
      </w:r>
      <w:r>
        <w:rPr>
          <w:rFonts w:hint="eastAsia" w:ascii="宋体" w:hAnsi="宋体" w:cs="宋体"/>
          <w:sz w:val="24"/>
          <w:szCs w:val="24"/>
          <w:u w:val="single"/>
          <w:lang w:eastAsia="zh-CN"/>
        </w:rPr>
        <w:t>签字或盖章</w:t>
      </w:r>
      <w:r>
        <w:rPr>
          <w:rFonts w:hint="eastAsia" w:ascii="宋体" w:hAnsi="宋体" w:cs="宋体"/>
          <w:sz w:val="24"/>
          <w:szCs w:val="24"/>
        </w:rPr>
        <w:t>）</w:t>
      </w:r>
    </w:p>
    <w:p>
      <w:pPr>
        <w:adjustRightInd w:val="0"/>
        <w:spacing w:line="400" w:lineRule="exact"/>
        <w:ind w:firstLine="480" w:firstLineChars="200"/>
        <w:rPr>
          <w:rFonts w:ascii="宋体" w:cs="Times New Roman"/>
          <w:sz w:val="24"/>
          <w:szCs w:val="24"/>
        </w:rPr>
      </w:pPr>
    </w:p>
    <w:p>
      <w:pPr>
        <w:adjustRightInd w:val="0"/>
        <w:spacing w:line="400" w:lineRule="exact"/>
        <w:ind w:firstLine="480" w:firstLineChars="200"/>
        <w:rPr>
          <w:rFonts w:ascii="宋体" w:cs="Times New Roman"/>
          <w:sz w:val="24"/>
          <w:szCs w:val="24"/>
        </w:rPr>
      </w:pPr>
      <w:r>
        <w:rPr>
          <w:rFonts w:hint="eastAsia" w:ascii="宋体" w:hAnsi="宋体" w:cs="宋体"/>
          <w:sz w:val="24"/>
          <w:szCs w:val="24"/>
        </w:rPr>
        <w:t>法定代表人或委托代理人电话：</w:t>
      </w:r>
    </w:p>
    <w:p>
      <w:pPr>
        <w:adjustRightInd w:val="0"/>
        <w:spacing w:line="400" w:lineRule="exact"/>
        <w:ind w:firstLine="480" w:firstLineChars="200"/>
        <w:rPr>
          <w:rFonts w:ascii="宋体" w:cs="Times New Roman"/>
          <w:sz w:val="24"/>
          <w:szCs w:val="24"/>
        </w:rPr>
      </w:pPr>
      <w:r>
        <w:rPr>
          <w:rFonts w:hint="eastAsia" w:ascii="宋体" w:hAnsi="宋体" w:cs="宋体"/>
          <w:sz w:val="24"/>
          <w:szCs w:val="24"/>
        </w:rPr>
        <w:t>日期：</w:t>
      </w:r>
    </w:p>
    <w:p>
      <w:pPr>
        <w:adjustRightInd w:val="0"/>
        <w:spacing w:line="400" w:lineRule="exact"/>
        <w:ind w:firstLine="480" w:firstLineChars="200"/>
        <w:rPr>
          <w:rFonts w:ascii="宋体" w:cs="Times New Roman"/>
          <w:sz w:val="24"/>
          <w:szCs w:val="24"/>
          <w:u w:val="single"/>
        </w:rPr>
      </w:pPr>
      <w:r>
        <w:rPr>
          <w:rFonts w:hint="eastAsia" w:ascii="宋体" w:hAnsi="宋体" w:cs="宋体"/>
          <w:sz w:val="24"/>
          <w:szCs w:val="24"/>
        </w:rPr>
        <w:t>地址：</w:t>
      </w:r>
    </w:p>
    <w:p>
      <w:pPr>
        <w:spacing w:line="400" w:lineRule="exact"/>
        <w:ind w:firstLine="480" w:firstLineChars="200"/>
        <w:rPr>
          <w:rFonts w:ascii="宋体" w:cs="Times New Roman"/>
          <w:sz w:val="24"/>
          <w:szCs w:val="24"/>
        </w:rPr>
      </w:pPr>
      <w:r>
        <w:rPr>
          <w:rFonts w:hint="eastAsia" w:ascii="宋体" w:hAnsi="宋体" w:cs="宋体"/>
          <w:sz w:val="24"/>
          <w:szCs w:val="24"/>
        </w:rPr>
        <w:t>邮编：</w:t>
      </w:r>
    </w:p>
    <w:p>
      <w:pPr>
        <w:spacing w:line="400" w:lineRule="exact"/>
        <w:ind w:firstLine="480" w:firstLineChars="200"/>
        <w:rPr>
          <w:rFonts w:ascii="宋体" w:cs="Times New Roman"/>
          <w:sz w:val="24"/>
          <w:szCs w:val="24"/>
        </w:rPr>
      </w:pPr>
      <w:r>
        <w:rPr>
          <w:rFonts w:hint="eastAsia" w:ascii="宋体" w:hAnsi="宋体" w:cs="宋体"/>
          <w:sz w:val="24"/>
          <w:szCs w:val="24"/>
        </w:rPr>
        <w:t>单位电话：</w:t>
      </w:r>
    </w:p>
    <w:p>
      <w:pPr>
        <w:spacing w:line="400" w:lineRule="exact"/>
        <w:ind w:firstLine="480" w:firstLineChars="200"/>
        <w:rPr>
          <w:rFonts w:ascii="宋体" w:cs="Times New Roman"/>
          <w:sz w:val="24"/>
          <w:szCs w:val="24"/>
        </w:rPr>
      </w:pPr>
      <w:r>
        <w:rPr>
          <w:rFonts w:hint="eastAsia" w:ascii="宋体" w:hAnsi="宋体" w:cs="宋体"/>
          <w:sz w:val="24"/>
          <w:szCs w:val="24"/>
        </w:rPr>
        <w:t>传真</w:t>
      </w:r>
      <w:bookmarkEnd w:id="20"/>
      <w:r>
        <w:rPr>
          <w:rFonts w:hint="eastAsia" w:ascii="宋体" w:hAnsi="宋体" w:cs="宋体"/>
          <w:sz w:val="24"/>
          <w:szCs w:val="24"/>
        </w:rPr>
        <w:t>：</w:t>
      </w:r>
    </w:p>
    <w:p>
      <w:pPr>
        <w:spacing w:line="360" w:lineRule="auto"/>
        <w:rPr>
          <w:rFonts w:ascii="宋体" w:cs="Times New Roman"/>
          <w:sz w:val="24"/>
          <w:szCs w:val="24"/>
        </w:rPr>
      </w:pPr>
    </w:p>
    <w:p>
      <w:pPr>
        <w:spacing w:line="360" w:lineRule="auto"/>
        <w:rPr>
          <w:rFonts w:ascii="宋体" w:cs="Times New Roman"/>
          <w:sz w:val="24"/>
          <w:szCs w:val="24"/>
        </w:rPr>
      </w:pPr>
      <w:r>
        <w:rPr>
          <w:rFonts w:hint="eastAsia" w:ascii="宋体" w:hAnsi="宋体" w:cs="宋体"/>
          <w:sz w:val="24"/>
          <w:szCs w:val="24"/>
        </w:rPr>
        <w:t>技术部分</w:t>
      </w:r>
    </w:p>
    <w:p>
      <w:pPr>
        <w:adjustRightInd w:val="0"/>
        <w:snapToGrid w:val="0"/>
        <w:spacing w:line="440" w:lineRule="exact"/>
        <w:rPr>
          <w:rFonts w:ascii="宋体" w:cs="Times New Roman"/>
          <w:sz w:val="24"/>
          <w:szCs w:val="24"/>
        </w:rPr>
      </w:pPr>
    </w:p>
    <w:p>
      <w:pPr>
        <w:tabs>
          <w:tab w:val="left" w:pos="6300"/>
        </w:tabs>
        <w:snapToGrid w:val="0"/>
        <w:spacing w:line="360" w:lineRule="auto"/>
        <w:ind w:firstLine="440" w:firstLineChars="200"/>
        <w:rPr>
          <w:rFonts w:ascii="宋体" w:cs="Times New Roman"/>
          <w:sz w:val="24"/>
          <w:szCs w:val="24"/>
        </w:rPr>
      </w:pPr>
      <w:r>
        <w:rPr>
          <w:rFonts w:hint="eastAsia" w:ascii="宋体" w:hAnsi="宋体" w:cs="宋体"/>
          <w:sz w:val="22"/>
          <w:szCs w:val="22"/>
        </w:rPr>
        <w:t>服务方案、食品质量安全保证措施方案、应急处理方案、廉政风险防控方案</w:t>
      </w:r>
      <w:r>
        <w:rPr>
          <w:rFonts w:hint="eastAsia" w:ascii="宋体" w:hAnsi="宋体" w:cs="宋体"/>
          <w:sz w:val="24"/>
          <w:szCs w:val="24"/>
        </w:rPr>
        <w:t>（格式自定）</w:t>
      </w: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r>
        <w:rPr>
          <w:rFonts w:hint="eastAsia" w:ascii="宋体" w:cs="宋体"/>
          <w:sz w:val="24"/>
          <w:szCs w:val="24"/>
        </w:rPr>
        <w:t>商务部分</w:t>
      </w:r>
    </w:p>
    <w:p>
      <w:pPr>
        <w:tabs>
          <w:tab w:val="left" w:pos="6300"/>
        </w:tabs>
        <w:snapToGrid w:val="0"/>
        <w:spacing w:line="360" w:lineRule="auto"/>
        <w:ind w:firstLine="550" w:firstLineChars="250"/>
        <w:rPr>
          <w:rFonts w:ascii="宋体" w:cs="Times New Roman"/>
          <w:sz w:val="24"/>
          <w:szCs w:val="24"/>
        </w:rPr>
      </w:pPr>
      <w:r>
        <w:rPr>
          <w:rFonts w:hint="eastAsia" w:ascii="宋体" w:hAnsi="宋体" w:cs="宋体"/>
          <w:sz w:val="22"/>
          <w:szCs w:val="22"/>
        </w:rPr>
        <w:t>仓储实力、车辆实力、服务人员、专业经验与业绩、食品安全、企业荣誉</w:t>
      </w:r>
      <w:r>
        <w:rPr>
          <w:rFonts w:hint="eastAsia" w:ascii="宋体" w:hAnsi="宋体" w:cs="宋体"/>
          <w:sz w:val="24"/>
          <w:szCs w:val="24"/>
        </w:rPr>
        <w:t>（格式自定）</w:t>
      </w: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440" w:lineRule="exact"/>
        <w:outlineLvl w:val="0"/>
        <w:rPr>
          <w:rFonts w:ascii="宋体" w:cs="Times New Roman"/>
          <w:sz w:val="24"/>
          <w:szCs w:val="24"/>
        </w:rPr>
      </w:pPr>
    </w:p>
    <w:p>
      <w:pPr>
        <w:adjustRightInd w:val="0"/>
        <w:snapToGrid w:val="0"/>
        <w:spacing w:line="360" w:lineRule="auto"/>
        <w:ind w:left="-84" w:leftChars="-42"/>
        <w:jc w:val="center"/>
        <w:rPr>
          <w:rFonts w:ascii="宋体" w:cs="Times New Roman"/>
          <w:spacing w:val="40"/>
          <w:sz w:val="24"/>
          <w:szCs w:val="24"/>
        </w:rPr>
      </w:pPr>
      <w:r>
        <w:rPr>
          <w:rFonts w:hint="eastAsia" w:ascii="宋体" w:hAnsi="宋体" w:cs="宋体"/>
          <w:spacing w:val="40"/>
          <w:sz w:val="24"/>
          <w:szCs w:val="24"/>
        </w:rPr>
        <w:t>法定代表人授权</w:t>
      </w:r>
      <w:r>
        <w:rPr>
          <w:rFonts w:hint="eastAsia" w:ascii="宋体" w:hAnsi="宋体" w:cs="宋体"/>
          <w:sz w:val="24"/>
          <w:szCs w:val="24"/>
        </w:rPr>
        <w:t>书</w:t>
      </w:r>
    </w:p>
    <w:p>
      <w:pPr>
        <w:spacing w:line="216" w:lineRule="auto"/>
        <w:rPr>
          <w:rFonts w:ascii="宋体" w:cs="Times New Roman"/>
          <w:sz w:val="24"/>
          <w:szCs w:val="24"/>
        </w:rPr>
      </w:pPr>
      <w:r>
        <w:rPr>
          <w:rFonts w:hint="eastAsia" w:ascii="宋体" w:cs="宋体"/>
          <w:sz w:val="24"/>
          <w:szCs w:val="24"/>
        </w:rPr>
        <w:t>项目名称</w:t>
      </w:r>
      <w:r>
        <w:rPr>
          <w:rFonts w:hint="eastAsia" w:ascii="宋体" w:cs="宋体"/>
          <w:sz w:val="24"/>
          <w:szCs w:val="24"/>
          <w:u w:val="single"/>
        </w:rPr>
        <w:t xml:space="preserve">：           </w:t>
      </w:r>
      <w:r>
        <w:rPr>
          <w:rFonts w:hint="eastAsia" w:ascii="宋体" w:cs="宋体"/>
          <w:sz w:val="24"/>
          <w:szCs w:val="24"/>
        </w:rPr>
        <w:t>(包XX)</w:t>
      </w:r>
    </w:p>
    <w:p>
      <w:pPr>
        <w:adjustRightInd w:val="0"/>
        <w:snapToGrid w:val="0"/>
        <w:spacing w:line="360" w:lineRule="auto"/>
        <w:rPr>
          <w:rFonts w:ascii="宋体" w:cs="Times New Roman"/>
          <w:sz w:val="24"/>
          <w:szCs w:val="24"/>
        </w:rPr>
      </w:pPr>
      <w:r>
        <w:rPr>
          <w:rFonts w:hint="eastAsia" w:ascii="宋体" w:hAnsi="宋体" w:cs="宋体"/>
          <w:sz w:val="24"/>
          <w:szCs w:val="24"/>
          <w:u w:val="single"/>
        </w:rPr>
        <w:t>重庆</w:t>
      </w:r>
      <w:r>
        <w:rPr>
          <w:rFonts w:hint="eastAsia" w:ascii="宋体" w:hAnsi="宋体" w:cs="宋体"/>
          <w:sz w:val="24"/>
          <w:szCs w:val="24"/>
          <w:u w:val="single"/>
          <w:lang w:eastAsia="zh-CN"/>
        </w:rPr>
        <w:t>莘莘餐饮管理有限公司</w:t>
      </w:r>
      <w:r>
        <w:rPr>
          <w:rFonts w:hint="eastAsia" w:ascii="宋体" w:hAnsi="宋体" w:cs="宋体"/>
          <w:sz w:val="24"/>
          <w:szCs w:val="24"/>
        </w:rPr>
        <w:t>：</w:t>
      </w:r>
    </w:p>
    <w:p>
      <w:pPr>
        <w:spacing w:line="360" w:lineRule="auto"/>
        <w:ind w:firstLine="600" w:firstLineChars="250"/>
        <w:rPr>
          <w:rFonts w:ascii="宋体" w:cs="Times New Roman"/>
          <w:sz w:val="24"/>
          <w:szCs w:val="24"/>
        </w:rPr>
      </w:pPr>
      <w:r>
        <w:rPr>
          <w:rFonts w:hint="eastAsia" w:ascii="宋体" w:hAnsi="宋体" w:cs="宋体"/>
          <w:sz w:val="24"/>
          <w:szCs w:val="24"/>
        </w:rPr>
        <w:t>兹授权同志为我公司参加贵单位组织的</w:t>
      </w:r>
      <w:r>
        <w:rPr>
          <w:rFonts w:ascii="宋体" w:hAnsi="宋体" w:cs="宋体"/>
          <w:sz w:val="24"/>
          <w:szCs w:val="24"/>
          <w:u w:val="single"/>
        </w:rPr>
        <w:t>(            )</w:t>
      </w:r>
      <w:r>
        <w:rPr>
          <w:rFonts w:hint="eastAsia" w:ascii="宋体" w:hAnsi="宋体" w:cs="宋体"/>
          <w:sz w:val="24"/>
          <w:szCs w:val="24"/>
        </w:rPr>
        <w:t>服务活动的投标代表人，全权代表我公司处理在该项目服务活动中的一切事宜。代理期限从 年 月 日起至 年 月 日止。</w:t>
      </w:r>
    </w:p>
    <w:p>
      <w:pPr>
        <w:spacing w:line="360" w:lineRule="auto"/>
        <w:ind w:firstLine="480" w:firstLineChars="200"/>
        <w:rPr>
          <w:rFonts w:ascii="宋体" w:cs="Times New Roman"/>
          <w:sz w:val="24"/>
          <w:szCs w:val="24"/>
        </w:rPr>
      </w:pPr>
      <w:r>
        <w:rPr>
          <w:rFonts w:hint="eastAsia" w:ascii="宋体" w:hAnsi="宋体" w:cs="宋体"/>
          <w:sz w:val="24"/>
          <w:szCs w:val="24"/>
        </w:rPr>
        <w:t>授权单位</w:t>
      </w:r>
      <w:r>
        <w:rPr>
          <w:rFonts w:ascii="宋体" w:hAnsi="宋体" w:cs="宋体"/>
          <w:sz w:val="24"/>
          <w:szCs w:val="24"/>
        </w:rPr>
        <w:t>(</w:t>
      </w:r>
      <w:r>
        <w:rPr>
          <w:rFonts w:hint="eastAsia" w:ascii="宋体" w:hAnsi="宋体" w:cs="宋体"/>
          <w:sz w:val="24"/>
          <w:szCs w:val="24"/>
        </w:rPr>
        <w:t>签</w:t>
      </w:r>
      <w:r>
        <w:rPr>
          <w:rFonts w:hint="eastAsia" w:ascii="宋体" w:hAnsi="宋体" w:cs="宋体"/>
          <w:sz w:val="24"/>
          <w:szCs w:val="24"/>
          <w:lang w:val="en-US" w:eastAsia="zh-CN"/>
        </w:rPr>
        <w:t>字</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法定代表人</w:t>
      </w:r>
      <w:r>
        <w:rPr>
          <w:rFonts w:ascii="宋体" w:hAnsi="宋体" w:cs="宋体"/>
          <w:sz w:val="24"/>
          <w:szCs w:val="24"/>
        </w:rPr>
        <w:t>(</w:t>
      </w:r>
      <w:r>
        <w:rPr>
          <w:rFonts w:hint="eastAsia" w:ascii="宋体" w:hAnsi="宋体" w:cs="宋体"/>
          <w:sz w:val="24"/>
          <w:szCs w:val="24"/>
        </w:rPr>
        <w:t>签字或盖章</w:t>
      </w:r>
      <w:r>
        <w:rPr>
          <w:rFonts w:ascii="宋体" w:hAnsi="宋体" w:cs="宋体"/>
          <w:sz w:val="24"/>
          <w:szCs w:val="24"/>
        </w:rPr>
        <w:t>)</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签发日期：年月日</w:t>
      </w:r>
    </w:p>
    <w:p>
      <w:pPr>
        <w:spacing w:line="360" w:lineRule="auto"/>
        <w:rPr>
          <w:rFonts w:ascii="宋体" w:cs="Times New Roman"/>
          <w:sz w:val="24"/>
          <w:szCs w:val="24"/>
        </w:rPr>
      </w:pPr>
      <w:r>
        <w:rPr>
          <w:rFonts w:hint="eastAsia" w:ascii="宋体" w:hAnsi="宋体" w:cs="宋体"/>
          <w:sz w:val="24"/>
          <w:szCs w:val="24"/>
        </w:rPr>
        <w:t>附：</w:t>
      </w:r>
    </w:p>
    <w:p>
      <w:pPr>
        <w:spacing w:line="360" w:lineRule="auto"/>
        <w:ind w:firstLine="480" w:firstLineChars="200"/>
        <w:rPr>
          <w:rFonts w:ascii="宋体" w:cs="Times New Roman"/>
          <w:sz w:val="24"/>
          <w:szCs w:val="24"/>
        </w:rPr>
      </w:pPr>
      <w:r>
        <w:rPr>
          <w:rFonts w:hint="eastAsia" w:ascii="宋体" w:hAnsi="宋体" w:cs="宋体"/>
          <w:sz w:val="24"/>
          <w:szCs w:val="24"/>
        </w:rPr>
        <w:t>代理人工作单位：</w:t>
      </w:r>
    </w:p>
    <w:p>
      <w:pPr>
        <w:spacing w:line="360" w:lineRule="auto"/>
        <w:ind w:firstLine="480" w:firstLineChars="200"/>
        <w:rPr>
          <w:rFonts w:ascii="宋体" w:cs="Times New Roman"/>
          <w:sz w:val="24"/>
          <w:szCs w:val="24"/>
        </w:rPr>
      </w:pPr>
      <w:r>
        <w:rPr>
          <w:rFonts w:hint="eastAsia" w:ascii="宋体" w:hAnsi="宋体" w:cs="宋体"/>
          <w:sz w:val="24"/>
          <w:szCs w:val="24"/>
        </w:rPr>
        <w:t>职务：性别：</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身份证号码：</w:t>
      </w:r>
    </w:p>
    <w:p>
      <w:pPr>
        <w:adjustRightInd w:val="0"/>
        <w:snapToGrid w:val="0"/>
        <w:spacing w:line="360" w:lineRule="auto"/>
        <w:ind w:firstLine="480" w:firstLineChars="200"/>
        <w:rPr>
          <w:rFonts w:ascii="宋体" w:cs="Times New Roman"/>
          <w:sz w:val="24"/>
          <w:szCs w:val="24"/>
          <w:u w:val="single"/>
        </w:rPr>
      </w:pPr>
      <w:r>
        <w:rPr>
          <w:rFonts w:hint="eastAsia" w:ascii="宋体" w:hAnsi="宋体" w:cs="宋体"/>
          <w:sz w:val="24"/>
          <w:szCs w:val="24"/>
        </w:rPr>
        <w:t>联系电话：</w:t>
      </w:r>
    </w:p>
    <w:tbl>
      <w:tblPr>
        <w:tblStyle w:val="25"/>
        <w:tblW w:w="86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jc w:val="center"/>
        </w:trPr>
        <w:tc>
          <w:tcPr>
            <w:tcW w:w="8614" w:type="dxa"/>
          </w:tcPr>
          <w:p>
            <w:pPr>
              <w:spacing w:line="360" w:lineRule="auto"/>
              <w:rPr>
                <w:rFonts w:ascii="宋体" w:cs="Times New Roman"/>
                <w:sz w:val="24"/>
                <w:szCs w:val="24"/>
              </w:rPr>
            </w:pPr>
          </w:p>
          <w:p>
            <w:pPr>
              <w:spacing w:line="360" w:lineRule="auto"/>
              <w:rPr>
                <w:rFonts w:ascii="宋体" w:cs="Times New Roman"/>
                <w:sz w:val="24"/>
                <w:szCs w:val="24"/>
              </w:rPr>
            </w:pPr>
          </w:p>
        </w:tc>
      </w:tr>
    </w:tbl>
    <w:p>
      <w:pPr>
        <w:spacing w:line="360" w:lineRule="auto"/>
        <w:rPr>
          <w:rFonts w:ascii="宋体" w:cs="Times New Roman"/>
          <w:sz w:val="24"/>
          <w:szCs w:val="24"/>
        </w:rPr>
      </w:pPr>
    </w:p>
    <w:p>
      <w:pPr>
        <w:spacing w:line="360" w:lineRule="auto"/>
        <w:rPr>
          <w:rFonts w:ascii="宋体" w:cs="Times New Roman"/>
          <w:sz w:val="24"/>
          <w:szCs w:val="24"/>
        </w:rPr>
      </w:pPr>
    </w:p>
    <w:p>
      <w:pPr>
        <w:adjustRightInd w:val="0"/>
        <w:snapToGrid w:val="0"/>
        <w:spacing w:line="440" w:lineRule="exact"/>
        <w:ind w:left="-84" w:leftChars="-42"/>
        <w:outlineLvl w:val="0"/>
        <w:rPr>
          <w:rFonts w:ascii="仿宋" w:hAnsi="仿宋" w:eastAsia="仿宋" w:cs="Times New Roman"/>
          <w:sz w:val="28"/>
          <w:szCs w:val="28"/>
        </w:rPr>
      </w:pPr>
    </w:p>
    <w:p>
      <w:pPr>
        <w:adjustRightInd w:val="0"/>
        <w:snapToGrid w:val="0"/>
        <w:spacing w:line="440" w:lineRule="exact"/>
        <w:ind w:left="-84" w:leftChars="-42"/>
        <w:outlineLvl w:val="0"/>
        <w:rPr>
          <w:rFonts w:ascii="仿宋" w:hAnsi="仿宋" w:eastAsia="仿宋" w:cs="Times New Roman"/>
          <w:sz w:val="28"/>
          <w:szCs w:val="28"/>
        </w:rPr>
      </w:pPr>
    </w:p>
    <w:p>
      <w:pPr>
        <w:adjustRightInd w:val="0"/>
        <w:snapToGrid w:val="0"/>
        <w:spacing w:line="440" w:lineRule="exact"/>
        <w:ind w:left="-84" w:leftChars="-42"/>
        <w:outlineLvl w:val="0"/>
        <w:rPr>
          <w:rFonts w:ascii="仿宋" w:hAnsi="仿宋" w:eastAsia="仿宋" w:cs="Times New Roman"/>
          <w:sz w:val="28"/>
          <w:szCs w:val="28"/>
        </w:rPr>
      </w:pPr>
    </w:p>
    <w:p>
      <w:pPr>
        <w:adjustRightInd w:val="0"/>
        <w:snapToGrid w:val="0"/>
        <w:spacing w:line="440" w:lineRule="exact"/>
        <w:outlineLvl w:val="0"/>
        <w:rPr>
          <w:rFonts w:ascii="仿宋" w:hAnsi="仿宋" w:eastAsia="仿宋" w:cs="Times New Roman"/>
          <w:sz w:val="28"/>
          <w:szCs w:val="28"/>
        </w:rPr>
      </w:pPr>
    </w:p>
    <w:p>
      <w:pPr>
        <w:spacing w:line="360" w:lineRule="auto"/>
        <w:rPr>
          <w:rFonts w:ascii="仿宋" w:hAnsi="仿宋" w:eastAsia="仿宋" w:cs="Times New Roman"/>
          <w:sz w:val="28"/>
          <w:szCs w:val="28"/>
        </w:rPr>
      </w:pPr>
    </w:p>
    <w:p>
      <w:pPr>
        <w:spacing w:line="360" w:lineRule="auto"/>
        <w:rPr>
          <w:rFonts w:ascii="仿宋" w:hAnsi="仿宋" w:eastAsia="仿宋" w:cs="Times New Roman"/>
          <w:sz w:val="28"/>
          <w:szCs w:val="28"/>
        </w:rPr>
      </w:pPr>
    </w:p>
    <w:p>
      <w:pPr>
        <w:spacing w:line="360" w:lineRule="auto"/>
        <w:rPr>
          <w:rFonts w:ascii="仿宋" w:hAnsi="仿宋" w:eastAsia="仿宋" w:cs="Times New Roman"/>
          <w:sz w:val="28"/>
          <w:szCs w:val="28"/>
        </w:rPr>
      </w:pPr>
    </w:p>
    <w:p>
      <w:pPr>
        <w:spacing w:line="360" w:lineRule="auto"/>
        <w:rPr>
          <w:rFonts w:ascii="宋体" w:cs="Times New Roman"/>
          <w:sz w:val="24"/>
          <w:szCs w:val="24"/>
        </w:rPr>
      </w:pPr>
    </w:p>
    <w:p>
      <w:pPr>
        <w:spacing w:line="360" w:lineRule="auto"/>
        <w:jc w:val="center"/>
        <w:rPr>
          <w:rFonts w:ascii="宋体" w:cs="Times New Roman"/>
          <w:sz w:val="24"/>
          <w:szCs w:val="24"/>
        </w:rPr>
      </w:pPr>
      <w:r>
        <w:rPr>
          <w:rFonts w:hint="eastAsia" w:ascii="宋体" w:hAnsi="宋体" w:cs="宋体"/>
          <w:sz w:val="24"/>
          <w:szCs w:val="24"/>
        </w:rPr>
        <w:t>交纳投标保证金银行凭证</w:t>
      </w:r>
    </w:p>
    <w:p>
      <w:pPr>
        <w:spacing w:line="360" w:lineRule="auto"/>
        <w:jc w:val="center"/>
        <w:rPr>
          <w:rFonts w:ascii="宋体" w:cs="Times New Roman"/>
          <w:sz w:val="24"/>
          <w:szCs w:val="24"/>
        </w:rPr>
      </w:pPr>
    </w:p>
    <w:p>
      <w:pPr>
        <w:adjustRightInd w:val="0"/>
        <w:snapToGrid w:val="0"/>
        <w:spacing w:line="360" w:lineRule="auto"/>
        <w:rPr>
          <w:rFonts w:ascii="宋体" w:cs="Times New Roman"/>
          <w:sz w:val="24"/>
          <w:szCs w:val="24"/>
        </w:rPr>
      </w:pPr>
      <w:r>
        <w:rPr>
          <w:rFonts w:hint="eastAsia" w:ascii="宋体" w:hAnsi="宋体" w:cs="宋体"/>
          <w:sz w:val="24"/>
          <w:szCs w:val="24"/>
          <w:u w:val="single"/>
        </w:rPr>
        <w:t>重庆</w:t>
      </w:r>
      <w:r>
        <w:rPr>
          <w:rFonts w:hint="eastAsia" w:ascii="宋体" w:hAnsi="宋体" w:cs="宋体"/>
          <w:sz w:val="24"/>
          <w:szCs w:val="24"/>
          <w:u w:val="single"/>
          <w:lang w:eastAsia="zh-CN"/>
        </w:rPr>
        <w:t>莘莘餐饮管理有限公司</w:t>
      </w:r>
      <w:r>
        <w:rPr>
          <w:rFonts w:hint="eastAsia" w:ascii="宋体" w:hAnsi="宋体" w:cs="宋体"/>
          <w:sz w:val="24"/>
          <w:szCs w:val="24"/>
        </w:rPr>
        <w:t>：</w:t>
      </w:r>
    </w:p>
    <w:p>
      <w:pPr>
        <w:spacing w:line="360" w:lineRule="auto"/>
        <w:ind w:firstLine="600" w:firstLineChars="250"/>
        <w:rPr>
          <w:rFonts w:ascii="宋体" w:cs="Times New Roman"/>
          <w:sz w:val="24"/>
          <w:szCs w:val="24"/>
        </w:rPr>
      </w:pPr>
      <w:r>
        <w:rPr>
          <w:rFonts w:hint="eastAsia" w:ascii="宋体" w:hAnsi="宋体" w:cs="宋体"/>
          <w:sz w:val="24"/>
          <w:szCs w:val="24"/>
        </w:rPr>
        <w:t>参加贵方组织的采购活动。按招标文件的规定，已递交人民币（大写）投标保证金</w:t>
      </w:r>
      <w:r>
        <w:rPr>
          <w:rFonts w:ascii="宋体" w:hAnsi="宋体" w:cs="宋体"/>
          <w:sz w:val="24"/>
          <w:szCs w:val="24"/>
        </w:rPr>
        <w:t>/</w:t>
      </w:r>
      <w:r>
        <w:rPr>
          <w:rFonts w:hint="eastAsia" w:ascii="宋体" w:hAnsi="宋体" w:cs="宋体"/>
          <w:sz w:val="24"/>
          <w:szCs w:val="24"/>
        </w:rPr>
        <w:t>包XX。</w:t>
      </w:r>
    </w:p>
    <w:p>
      <w:pPr>
        <w:spacing w:line="360" w:lineRule="auto"/>
        <w:ind w:firstLine="480" w:firstLineChars="200"/>
        <w:rPr>
          <w:rFonts w:ascii="宋体" w:cs="Times New Roman"/>
          <w:sz w:val="24"/>
          <w:szCs w:val="24"/>
          <w:u w:val="single"/>
        </w:rPr>
      </w:pPr>
      <w:r>
        <w:rPr>
          <w:rFonts w:hint="eastAsia" w:ascii="宋体" w:hAnsi="宋体" w:cs="宋体"/>
          <w:sz w:val="24"/>
          <w:szCs w:val="24"/>
        </w:rPr>
        <w:t>投标人名称：</w:t>
      </w:r>
    </w:p>
    <w:p>
      <w:pPr>
        <w:tabs>
          <w:tab w:val="left" w:pos="1180"/>
        </w:tabs>
        <w:spacing w:line="360" w:lineRule="auto"/>
        <w:ind w:firstLine="480" w:firstLineChars="200"/>
        <w:rPr>
          <w:rFonts w:ascii="宋体" w:cs="Times New Roman"/>
          <w:sz w:val="24"/>
          <w:szCs w:val="24"/>
          <w:u w:val="single"/>
        </w:rPr>
      </w:pPr>
      <w:r>
        <w:rPr>
          <w:rFonts w:hint="eastAsia" w:ascii="宋体" w:hAnsi="宋体" w:cs="宋体"/>
          <w:sz w:val="24"/>
          <w:szCs w:val="24"/>
        </w:rPr>
        <w:t>投标人开户行：</w:t>
      </w:r>
    </w:p>
    <w:p>
      <w:pPr>
        <w:tabs>
          <w:tab w:val="left" w:pos="1180"/>
        </w:tabs>
        <w:spacing w:line="360" w:lineRule="auto"/>
        <w:ind w:firstLine="480" w:firstLineChars="200"/>
        <w:rPr>
          <w:rFonts w:ascii="宋体" w:cs="Times New Roman"/>
          <w:sz w:val="24"/>
          <w:szCs w:val="24"/>
          <w:u w:val="single"/>
        </w:rPr>
      </w:pPr>
      <w:r>
        <w:rPr>
          <w:rFonts w:hint="eastAsia" w:ascii="宋体" w:hAnsi="宋体" w:cs="宋体"/>
          <w:sz w:val="24"/>
          <w:szCs w:val="24"/>
        </w:rPr>
        <w:t>投标人银行帐号：</w:t>
      </w:r>
    </w:p>
    <w:p>
      <w:pPr>
        <w:tabs>
          <w:tab w:val="left" w:pos="1180"/>
        </w:tabs>
        <w:spacing w:line="360" w:lineRule="auto"/>
        <w:ind w:firstLine="480" w:firstLineChars="200"/>
        <w:rPr>
          <w:rFonts w:ascii="宋体" w:cs="Times New Roman"/>
          <w:sz w:val="24"/>
          <w:szCs w:val="24"/>
          <w:u w:val="single"/>
        </w:rPr>
      </w:pPr>
    </w:p>
    <w:tbl>
      <w:tblPr>
        <w:tblStyle w:val="25"/>
        <w:tblW w:w="881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75" w:hRule="atLeast"/>
          <w:jc w:val="center"/>
        </w:trPr>
        <w:tc>
          <w:tcPr>
            <w:tcW w:w="8814" w:type="dxa"/>
          </w:tcPr>
          <w:p>
            <w:pPr>
              <w:tabs>
                <w:tab w:val="left" w:pos="1180"/>
              </w:tabs>
              <w:spacing w:line="360" w:lineRule="auto"/>
              <w:rPr>
                <w:rFonts w:ascii="宋体" w:cs="Times New Roman"/>
                <w:sz w:val="24"/>
                <w:szCs w:val="24"/>
                <w:u w:val="single"/>
              </w:rPr>
            </w:pPr>
          </w:p>
        </w:tc>
      </w:tr>
    </w:tbl>
    <w:p>
      <w:pPr>
        <w:tabs>
          <w:tab w:val="left" w:pos="1180"/>
        </w:tabs>
        <w:spacing w:line="360" w:lineRule="auto"/>
        <w:ind w:firstLine="480" w:firstLineChars="200"/>
        <w:rPr>
          <w:rFonts w:ascii="宋体" w:cs="Times New Roman"/>
          <w:sz w:val="24"/>
          <w:szCs w:val="24"/>
          <w:u w:val="single"/>
        </w:rPr>
      </w:pPr>
    </w:p>
    <w:p>
      <w:pPr>
        <w:tabs>
          <w:tab w:val="left" w:pos="1180"/>
        </w:tabs>
        <w:spacing w:line="360" w:lineRule="auto"/>
        <w:ind w:firstLine="480" w:firstLineChars="200"/>
        <w:rPr>
          <w:rFonts w:ascii="宋体" w:cs="Times New Roman"/>
          <w:sz w:val="24"/>
          <w:szCs w:val="24"/>
          <w:u w:val="single"/>
        </w:rPr>
      </w:pPr>
    </w:p>
    <w:p>
      <w:pPr>
        <w:tabs>
          <w:tab w:val="left" w:pos="1180"/>
        </w:tabs>
        <w:spacing w:line="360" w:lineRule="auto"/>
        <w:ind w:firstLine="480" w:firstLineChars="200"/>
        <w:rPr>
          <w:rFonts w:ascii="宋体" w:cs="Times New Roman"/>
          <w:sz w:val="24"/>
          <w:szCs w:val="24"/>
          <w:u w:val="single"/>
        </w:rPr>
      </w:pPr>
    </w:p>
    <w:p>
      <w:pPr>
        <w:tabs>
          <w:tab w:val="left" w:pos="1180"/>
        </w:tabs>
        <w:spacing w:line="360" w:lineRule="auto"/>
        <w:ind w:firstLine="480" w:firstLineChars="200"/>
        <w:rPr>
          <w:rFonts w:ascii="宋体" w:cs="Times New Roman"/>
          <w:sz w:val="24"/>
          <w:szCs w:val="24"/>
          <w:u w:val="single"/>
        </w:rPr>
      </w:pPr>
    </w:p>
    <w:p>
      <w:pPr>
        <w:tabs>
          <w:tab w:val="left" w:pos="1180"/>
        </w:tabs>
        <w:spacing w:line="360" w:lineRule="auto"/>
        <w:rPr>
          <w:rFonts w:ascii="宋体" w:cs="Times New Roman"/>
          <w:sz w:val="24"/>
          <w:szCs w:val="24"/>
          <w:u w:val="single"/>
        </w:rPr>
      </w:pPr>
    </w:p>
    <w:p>
      <w:pPr>
        <w:pStyle w:val="9"/>
        <w:spacing w:line="216" w:lineRule="auto"/>
        <w:ind w:left="0" w:leftChars="0"/>
        <w:rPr>
          <w:rFonts w:ascii="宋体"/>
          <w:sz w:val="24"/>
          <w:szCs w:val="24"/>
        </w:rPr>
      </w:pPr>
    </w:p>
    <w:p>
      <w:pPr>
        <w:pStyle w:val="9"/>
        <w:spacing w:line="360" w:lineRule="auto"/>
        <w:ind w:left="839" w:hanging="439" w:hangingChars="183"/>
        <w:jc w:val="center"/>
        <w:rPr>
          <w:rFonts w:ascii="宋体"/>
          <w:sz w:val="24"/>
          <w:szCs w:val="24"/>
        </w:rPr>
      </w:pPr>
      <w:r>
        <w:rPr>
          <w:rFonts w:hint="eastAsia" w:ascii="宋体" w:hAnsi="宋体" w:cs="宋体"/>
          <w:sz w:val="24"/>
          <w:szCs w:val="24"/>
        </w:rPr>
        <w:t>资质证明文件</w:t>
      </w:r>
    </w:p>
    <w:p>
      <w:pPr>
        <w:pStyle w:val="9"/>
        <w:spacing w:line="360" w:lineRule="auto"/>
        <w:ind w:left="0" w:leftChars="0"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、营业执照（非三证合一的提供税务登记证、组织代码证）复印件（加盖公章）。</w:t>
      </w:r>
    </w:p>
    <w:p>
      <w:pPr>
        <w:spacing w:line="360" w:lineRule="auto"/>
        <w:jc w:val="center"/>
        <w:rPr>
          <w:rFonts w:ascii="宋体" w:cs="Times New Roman"/>
          <w:sz w:val="24"/>
          <w:szCs w:val="24"/>
        </w:rPr>
      </w:pPr>
    </w:p>
    <w:p>
      <w:pPr>
        <w:spacing w:line="360" w:lineRule="auto"/>
        <w:ind w:firstLine="480" w:firstLineChars="200"/>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rPr>
          <w:rFonts w:ascii="宋体" w:cs="Times New Roman"/>
          <w:sz w:val="24"/>
          <w:szCs w:val="24"/>
        </w:rPr>
      </w:pPr>
    </w:p>
    <w:p>
      <w:pPr>
        <w:spacing w:line="360" w:lineRule="auto"/>
        <w:ind w:right="560" w:firstLine="480" w:firstLineChars="200"/>
        <w:jc w:val="center"/>
        <w:rPr>
          <w:rFonts w:ascii="宋体" w:cs="Times New Roman"/>
          <w:sz w:val="24"/>
          <w:szCs w:val="24"/>
        </w:rPr>
      </w:pPr>
    </w:p>
    <w:p>
      <w:pPr>
        <w:spacing w:line="360" w:lineRule="auto"/>
        <w:ind w:right="560" w:firstLine="480" w:firstLineChars="200"/>
        <w:jc w:val="right"/>
        <w:rPr>
          <w:rFonts w:ascii="宋体" w:cs="Times New Roman"/>
          <w:sz w:val="24"/>
          <w:szCs w:val="24"/>
        </w:rPr>
      </w:pPr>
    </w:p>
    <w:p>
      <w:pPr>
        <w:spacing w:line="360" w:lineRule="auto"/>
        <w:ind w:right="560" w:firstLine="480" w:firstLineChars="200"/>
        <w:jc w:val="right"/>
        <w:rPr>
          <w:rFonts w:ascii="宋体" w:cs="Times New Roman"/>
          <w:sz w:val="24"/>
          <w:szCs w:val="24"/>
        </w:rPr>
      </w:pPr>
    </w:p>
    <w:p>
      <w:pPr>
        <w:spacing w:line="360" w:lineRule="auto"/>
        <w:ind w:right="560" w:firstLine="5040" w:firstLineChars="2100"/>
        <w:jc w:val="right"/>
        <w:rPr>
          <w:rFonts w:ascii="宋体" w:cs="Times New Roman"/>
          <w:sz w:val="24"/>
          <w:szCs w:val="24"/>
        </w:rPr>
      </w:pPr>
      <w:r>
        <w:rPr>
          <w:rFonts w:hint="eastAsia" w:ascii="宋体" w:hAnsi="宋体" w:cs="宋体"/>
          <w:sz w:val="24"/>
          <w:szCs w:val="24"/>
        </w:rPr>
        <w:t>投标人：</w:t>
      </w:r>
      <w:r>
        <w:rPr>
          <w:rFonts w:hint="eastAsia" w:ascii="宋体" w:hAnsi="宋体" w:cs="宋体"/>
          <w:sz w:val="24"/>
          <w:szCs w:val="24"/>
          <w:u w:val="single"/>
        </w:rPr>
        <w:t>（公章）</w:t>
      </w:r>
    </w:p>
    <w:p>
      <w:pPr>
        <w:spacing w:line="360" w:lineRule="auto"/>
        <w:ind w:right="560" w:firstLine="3360" w:firstLineChars="1400"/>
        <w:jc w:val="right"/>
        <w:rPr>
          <w:rFonts w:ascii="宋体" w:cs="Times New Roman"/>
          <w:sz w:val="24"/>
          <w:szCs w:val="24"/>
        </w:rPr>
      </w:pPr>
      <w:r>
        <w:rPr>
          <w:rFonts w:hint="eastAsia" w:ascii="宋体" w:hAnsi="宋体" w:cs="宋体"/>
          <w:sz w:val="24"/>
          <w:szCs w:val="24"/>
        </w:rPr>
        <w:t>法定代表人或授权代表：</w:t>
      </w:r>
      <w:r>
        <w:rPr>
          <w:rFonts w:hint="eastAsia" w:ascii="宋体" w:hAnsi="宋体" w:cs="宋体"/>
          <w:sz w:val="24"/>
          <w:szCs w:val="24"/>
          <w:u w:val="single"/>
        </w:rPr>
        <w:t>（</w:t>
      </w:r>
      <w:r>
        <w:rPr>
          <w:rFonts w:hint="eastAsia" w:ascii="宋体" w:hAnsi="宋体" w:cs="宋体"/>
          <w:sz w:val="24"/>
          <w:szCs w:val="24"/>
          <w:u w:val="single"/>
          <w:lang w:eastAsia="zh-CN"/>
        </w:rPr>
        <w:t>签字或盖章</w:t>
      </w:r>
      <w:r>
        <w:rPr>
          <w:rFonts w:hint="eastAsia" w:ascii="宋体" w:hAnsi="宋体" w:cs="宋体"/>
          <w:sz w:val="24"/>
          <w:szCs w:val="24"/>
          <w:u w:val="single"/>
        </w:rPr>
        <w:t>）</w:t>
      </w:r>
    </w:p>
    <w:p>
      <w:pPr>
        <w:wordWrap w:val="0"/>
        <w:spacing w:line="360" w:lineRule="auto"/>
        <w:ind w:right="560" w:firstLine="3240" w:firstLineChars="1350"/>
        <w:jc w:val="right"/>
        <w:rPr>
          <w:rFonts w:ascii="宋体" w:cs="Times New Roman"/>
          <w:sz w:val="24"/>
          <w:szCs w:val="24"/>
        </w:rPr>
      </w:pPr>
      <w:r>
        <w:rPr>
          <w:rFonts w:hint="eastAsia" w:ascii="宋体" w:hAnsi="宋体" w:cs="宋体"/>
          <w:sz w:val="24"/>
          <w:szCs w:val="24"/>
        </w:rPr>
        <w:t>日期：年月日</w:t>
      </w:r>
    </w:p>
    <w:p>
      <w:pPr>
        <w:spacing w:line="360" w:lineRule="auto"/>
        <w:ind w:right="560" w:firstLine="3240" w:firstLineChars="1350"/>
        <w:jc w:val="right"/>
        <w:rPr>
          <w:rFonts w:ascii="宋体" w:cs="Times New Roman"/>
          <w:sz w:val="24"/>
          <w:szCs w:val="24"/>
        </w:rPr>
      </w:pPr>
    </w:p>
    <w:p>
      <w:pPr>
        <w:spacing w:line="360" w:lineRule="auto"/>
        <w:rPr>
          <w:rFonts w:ascii="宋体" w:cs="Times New Roman"/>
          <w:sz w:val="24"/>
          <w:szCs w:val="24"/>
        </w:rPr>
      </w:pP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pacing w:line="360" w:lineRule="auto"/>
        <w:jc w:val="center"/>
        <w:rPr>
          <w:rFonts w:ascii="宋体" w:cs="Times New Roman"/>
          <w:sz w:val="24"/>
          <w:szCs w:val="24"/>
        </w:rPr>
      </w:pPr>
      <w:r>
        <w:rPr>
          <w:rFonts w:hint="eastAsia" w:ascii="宋体" w:hAnsi="宋体" w:cs="宋体"/>
          <w:sz w:val="24"/>
          <w:szCs w:val="24"/>
        </w:rPr>
        <w:t>最近三年内无重大违法记录声明</w:t>
      </w:r>
    </w:p>
    <w:p>
      <w:pPr>
        <w:spacing w:line="360" w:lineRule="auto"/>
        <w:rPr>
          <w:rFonts w:ascii="宋体" w:cs="Times New Roman"/>
          <w:sz w:val="24"/>
          <w:szCs w:val="24"/>
        </w:rPr>
      </w:pPr>
    </w:p>
    <w:p>
      <w:pPr>
        <w:spacing w:line="360" w:lineRule="auto"/>
        <w:rPr>
          <w:rFonts w:ascii="宋体" w:cs="Times New Roman"/>
          <w:sz w:val="24"/>
          <w:szCs w:val="24"/>
        </w:rPr>
      </w:pPr>
    </w:p>
    <w:p>
      <w:pPr>
        <w:adjustRightInd w:val="0"/>
        <w:snapToGrid w:val="0"/>
        <w:spacing w:line="360" w:lineRule="auto"/>
        <w:rPr>
          <w:rFonts w:ascii="宋体" w:cs="Times New Roman"/>
          <w:sz w:val="24"/>
          <w:szCs w:val="24"/>
        </w:rPr>
      </w:pPr>
      <w:r>
        <w:rPr>
          <w:rFonts w:hint="eastAsia" w:ascii="宋体" w:hAnsi="宋体" w:cs="宋体"/>
          <w:sz w:val="24"/>
          <w:szCs w:val="24"/>
          <w:u w:val="single"/>
        </w:rPr>
        <w:t>重庆</w:t>
      </w:r>
      <w:r>
        <w:rPr>
          <w:rFonts w:hint="eastAsia" w:ascii="宋体" w:hAnsi="宋体" w:cs="宋体"/>
          <w:sz w:val="24"/>
          <w:szCs w:val="24"/>
          <w:u w:val="single"/>
          <w:lang w:eastAsia="zh-CN"/>
        </w:rPr>
        <w:t>莘莘餐饮管理有限公司</w:t>
      </w:r>
      <w:r>
        <w:rPr>
          <w:rFonts w:hint="eastAsia" w:ascii="宋体" w:hAnsi="宋体" w:cs="宋体"/>
          <w:sz w:val="24"/>
          <w:szCs w:val="24"/>
        </w:rPr>
        <w:t>：</w:t>
      </w:r>
    </w:p>
    <w:p>
      <w:pPr>
        <w:spacing w:line="360" w:lineRule="auto"/>
        <w:ind w:firstLine="480" w:firstLineChars="200"/>
        <w:rPr>
          <w:rFonts w:ascii="宋体" w:cs="Times New Roman"/>
          <w:sz w:val="24"/>
          <w:szCs w:val="24"/>
        </w:rPr>
      </w:pPr>
      <w:r>
        <w:rPr>
          <w:rFonts w:hint="eastAsia" w:ascii="宋体" w:hAnsi="宋体" w:cs="宋体"/>
          <w:sz w:val="24"/>
          <w:szCs w:val="24"/>
        </w:rPr>
        <w:t>我公司参加</w:t>
      </w:r>
      <w:r>
        <w:rPr>
          <w:rFonts w:ascii="宋体" w:hAnsi="宋体" w:cs="宋体"/>
          <w:sz w:val="24"/>
          <w:szCs w:val="24"/>
          <w:u w:val="single"/>
        </w:rPr>
        <w:t xml:space="preserve">           项目（</w:t>
      </w:r>
      <w:r>
        <w:rPr>
          <w:rFonts w:ascii="宋体" w:hAnsi="宋体" w:cs="宋体"/>
          <w:sz w:val="24"/>
          <w:szCs w:val="24"/>
        </w:rPr>
        <w:t>包</w:t>
      </w:r>
      <w:r>
        <w:rPr>
          <w:rFonts w:hint="eastAsia" w:ascii="宋体" w:hAnsi="宋体" w:cs="宋体"/>
          <w:sz w:val="24"/>
          <w:szCs w:val="24"/>
        </w:rPr>
        <w:t>X</w:t>
      </w:r>
      <w:r>
        <w:rPr>
          <w:rFonts w:ascii="宋体" w:hAnsi="宋体" w:cs="宋体"/>
          <w:sz w:val="24"/>
          <w:szCs w:val="24"/>
        </w:rPr>
        <w:t>X ）</w:t>
      </w:r>
      <w:r>
        <w:rPr>
          <w:rFonts w:hint="eastAsia" w:ascii="宋体" w:hAnsi="宋体" w:cs="宋体"/>
          <w:sz w:val="24"/>
          <w:szCs w:val="24"/>
        </w:rPr>
        <w:t>投标，在此郑重声明：我公司在参加本项目招标活动前三年内无重大违法行为记录，符合《中华人民共和国政府采购法》第二十二条第五款规定的配送服务企业资格条件。</w:t>
      </w:r>
    </w:p>
    <w:p>
      <w:pPr>
        <w:spacing w:line="360" w:lineRule="auto"/>
        <w:ind w:firstLine="480" w:firstLineChars="200"/>
        <w:rPr>
          <w:rFonts w:ascii="宋体" w:cs="Times New Roman"/>
          <w:sz w:val="24"/>
          <w:szCs w:val="24"/>
        </w:rPr>
      </w:pPr>
      <w:r>
        <w:rPr>
          <w:rFonts w:hint="eastAsia" w:ascii="宋体" w:hAnsi="宋体" w:cs="宋体"/>
          <w:sz w:val="24"/>
          <w:szCs w:val="24"/>
        </w:rPr>
        <w:t>我公司对此声明负全部法律责任。</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r>
        <w:rPr>
          <w:rFonts w:hint="eastAsia" w:ascii="宋体" w:hAnsi="宋体" w:cs="宋体"/>
          <w:sz w:val="24"/>
          <w:szCs w:val="24"/>
        </w:rPr>
        <w:t>特此声明。</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tabs>
          <w:tab w:val="left" w:pos="0"/>
        </w:tabs>
        <w:spacing w:line="360" w:lineRule="auto"/>
        <w:ind w:right="560" w:firstLine="607" w:firstLineChars="253"/>
        <w:jc w:val="right"/>
        <w:rPr>
          <w:rFonts w:ascii="宋体" w:cs="Times New Roman"/>
          <w:sz w:val="24"/>
          <w:szCs w:val="24"/>
          <w:u w:val="single"/>
        </w:rPr>
      </w:pPr>
      <w:r>
        <w:rPr>
          <w:rFonts w:hint="eastAsia" w:ascii="宋体" w:hAnsi="宋体" w:cs="宋体"/>
          <w:sz w:val="24"/>
          <w:szCs w:val="24"/>
        </w:rPr>
        <w:t>投标人：</w:t>
      </w:r>
      <w:r>
        <w:rPr>
          <w:rFonts w:hint="eastAsia" w:ascii="宋体" w:hAnsi="宋体" w:cs="宋体"/>
          <w:sz w:val="24"/>
          <w:szCs w:val="24"/>
          <w:u w:val="single"/>
        </w:rPr>
        <w:t>（公章）</w:t>
      </w:r>
    </w:p>
    <w:p>
      <w:pPr>
        <w:spacing w:line="360" w:lineRule="auto"/>
        <w:ind w:firstLine="480" w:firstLineChars="200"/>
        <w:jc w:val="right"/>
        <w:rPr>
          <w:rFonts w:ascii="宋体" w:cs="Times New Roman"/>
          <w:sz w:val="24"/>
          <w:szCs w:val="24"/>
        </w:rPr>
      </w:pPr>
    </w:p>
    <w:p>
      <w:pPr>
        <w:spacing w:line="360" w:lineRule="auto"/>
        <w:ind w:right="560" w:firstLine="480" w:firstLineChars="200"/>
        <w:jc w:val="right"/>
        <w:rPr>
          <w:rFonts w:ascii="宋体" w:cs="Times New Roman"/>
          <w:sz w:val="24"/>
          <w:szCs w:val="24"/>
          <w:u w:val="single"/>
        </w:rPr>
      </w:pPr>
      <w:r>
        <w:rPr>
          <w:rFonts w:hint="eastAsia" w:ascii="宋体" w:hAnsi="宋体" w:cs="宋体"/>
          <w:sz w:val="24"/>
          <w:szCs w:val="24"/>
        </w:rPr>
        <w:t>法定代表人或授权代表：</w:t>
      </w:r>
      <w:r>
        <w:rPr>
          <w:rFonts w:hint="eastAsia" w:ascii="宋体" w:hAnsi="宋体" w:cs="宋体"/>
          <w:sz w:val="24"/>
          <w:szCs w:val="24"/>
          <w:u w:val="single"/>
        </w:rPr>
        <w:t>（</w:t>
      </w:r>
      <w:r>
        <w:rPr>
          <w:rFonts w:hint="eastAsia" w:ascii="宋体" w:hAnsi="宋体" w:cs="宋体"/>
          <w:sz w:val="24"/>
          <w:szCs w:val="24"/>
          <w:u w:val="single"/>
          <w:lang w:eastAsia="zh-CN"/>
        </w:rPr>
        <w:t>签字或盖章</w:t>
      </w:r>
      <w:r>
        <w:rPr>
          <w:rFonts w:hint="eastAsia" w:ascii="宋体" w:hAnsi="宋体" w:cs="宋体"/>
          <w:sz w:val="24"/>
          <w:szCs w:val="24"/>
          <w:u w:val="single"/>
        </w:rPr>
        <w:t>）</w:t>
      </w:r>
    </w:p>
    <w:p>
      <w:pPr>
        <w:spacing w:line="360" w:lineRule="auto"/>
        <w:ind w:firstLine="480" w:firstLineChars="200"/>
        <w:jc w:val="right"/>
        <w:rPr>
          <w:rFonts w:ascii="宋体" w:cs="Times New Roman"/>
          <w:sz w:val="24"/>
          <w:szCs w:val="24"/>
        </w:rPr>
      </w:pPr>
    </w:p>
    <w:p>
      <w:pPr>
        <w:wordWrap w:val="0"/>
        <w:spacing w:line="360" w:lineRule="auto"/>
        <w:ind w:right="560" w:firstLine="480" w:firstLineChars="200"/>
        <w:jc w:val="right"/>
        <w:rPr>
          <w:rFonts w:ascii="宋体" w:cs="Times New Roman"/>
          <w:sz w:val="24"/>
          <w:szCs w:val="24"/>
        </w:rPr>
      </w:pPr>
      <w:r>
        <w:rPr>
          <w:rFonts w:hint="eastAsia" w:ascii="宋体" w:hAnsi="宋体" w:cs="宋体"/>
          <w:sz w:val="24"/>
          <w:szCs w:val="24"/>
        </w:rPr>
        <w:t>日期：年月日</w:t>
      </w: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40" w:lineRule="exact"/>
        <w:rPr>
          <w:rFonts w:ascii="宋体" w:cs="Times New Roman"/>
          <w:sz w:val="24"/>
          <w:szCs w:val="24"/>
        </w:rPr>
      </w:pPr>
      <w:r>
        <w:rPr>
          <w:rFonts w:hint="eastAsia" w:ascii="宋体" w:hAnsi="宋体" w:cs="宋体"/>
          <w:sz w:val="24"/>
          <w:szCs w:val="24"/>
        </w:rPr>
        <w:t>（“信用中国”查询记录截图）</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ind w:firstLine="600" w:firstLineChars="250"/>
        <w:jc w:val="center"/>
        <w:rPr>
          <w:rFonts w:ascii="宋体" w:cs="Times New Roman"/>
          <w:sz w:val="24"/>
          <w:szCs w:val="24"/>
        </w:rPr>
      </w:pPr>
      <w:r>
        <w:rPr>
          <w:rFonts w:hint="eastAsia" w:ascii="宋体" w:hAnsi="宋体" w:cs="宋体"/>
          <w:sz w:val="24"/>
          <w:szCs w:val="24"/>
        </w:rPr>
        <w:t>财务状况报告，依法缴纳税收和社会保障资金</w:t>
      </w:r>
    </w:p>
    <w:p>
      <w:pPr>
        <w:spacing w:line="360" w:lineRule="auto"/>
        <w:jc w:val="center"/>
        <w:rPr>
          <w:rFonts w:ascii="宋体" w:cs="Times New Roman"/>
          <w:b/>
          <w:bCs/>
          <w:sz w:val="24"/>
          <w:szCs w:val="24"/>
        </w:rPr>
      </w:pPr>
      <w:r>
        <w:rPr>
          <w:rFonts w:hint="eastAsia" w:ascii="宋体" w:hAnsi="宋体" w:cs="宋体"/>
          <w:b/>
          <w:bCs/>
          <w:sz w:val="24"/>
          <w:szCs w:val="24"/>
        </w:rPr>
        <w:t>资产负债表</w:t>
      </w: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rPr>
          <w:rFonts w:ascii="宋体" w:cs="Times New Roman"/>
          <w:sz w:val="24"/>
          <w:szCs w:val="24"/>
        </w:rPr>
      </w:pPr>
    </w:p>
    <w:p>
      <w:pPr>
        <w:spacing w:line="360" w:lineRule="auto"/>
        <w:ind w:firstLine="4800" w:firstLineChars="2000"/>
        <w:jc w:val="right"/>
        <w:rPr>
          <w:rFonts w:ascii="宋体" w:cs="Times New Roman"/>
          <w:sz w:val="24"/>
          <w:szCs w:val="24"/>
        </w:rPr>
      </w:pPr>
    </w:p>
    <w:p>
      <w:pPr>
        <w:spacing w:line="360" w:lineRule="auto"/>
        <w:ind w:right="480" w:firstLine="4800" w:firstLineChars="2000"/>
        <w:jc w:val="center"/>
        <w:rPr>
          <w:rFonts w:ascii="宋体" w:cs="Times New Roman"/>
          <w:sz w:val="24"/>
          <w:szCs w:val="24"/>
        </w:rPr>
      </w:pPr>
      <w:r>
        <w:rPr>
          <w:rFonts w:hint="eastAsia" w:ascii="宋体" w:hAnsi="宋体" w:cs="宋体"/>
          <w:sz w:val="24"/>
          <w:szCs w:val="24"/>
        </w:rPr>
        <w:t>投标人：</w:t>
      </w:r>
      <w:r>
        <w:rPr>
          <w:rFonts w:hint="eastAsia" w:ascii="宋体" w:hAnsi="宋体" w:cs="宋体"/>
          <w:sz w:val="24"/>
          <w:szCs w:val="24"/>
          <w:u w:val="single"/>
        </w:rPr>
        <w:t>（公章）</w:t>
      </w:r>
    </w:p>
    <w:p>
      <w:pPr>
        <w:wordWrap w:val="0"/>
        <w:spacing w:line="360" w:lineRule="auto"/>
        <w:ind w:right="560" w:firstLine="3120" w:firstLineChars="1300"/>
        <w:jc w:val="right"/>
        <w:rPr>
          <w:rFonts w:ascii="宋体" w:cs="Times New Roman"/>
          <w:sz w:val="24"/>
          <w:szCs w:val="24"/>
        </w:rPr>
      </w:pPr>
      <w:r>
        <w:rPr>
          <w:rFonts w:hint="eastAsia" w:ascii="宋体" w:hAnsi="宋体" w:cs="宋体"/>
          <w:sz w:val="24"/>
          <w:szCs w:val="24"/>
        </w:rPr>
        <w:t>法定代表人或授权代表：</w:t>
      </w:r>
      <w:r>
        <w:rPr>
          <w:rFonts w:hint="eastAsia" w:ascii="宋体" w:hAnsi="宋体" w:cs="宋体"/>
          <w:sz w:val="24"/>
          <w:szCs w:val="24"/>
          <w:u w:val="single"/>
        </w:rPr>
        <w:t>（</w:t>
      </w:r>
      <w:r>
        <w:rPr>
          <w:rFonts w:hint="eastAsia" w:ascii="宋体" w:hAnsi="宋体" w:cs="宋体"/>
          <w:sz w:val="24"/>
          <w:szCs w:val="24"/>
          <w:u w:val="single"/>
          <w:lang w:eastAsia="zh-CN"/>
        </w:rPr>
        <w:t>签字或盖章</w:t>
      </w:r>
      <w:r>
        <w:rPr>
          <w:rFonts w:hint="eastAsia" w:ascii="宋体" w:hAnsi="宋体" w:cs="宋体"/>
          <w:sz w:val="24"/>
          <w:szCs w:val="24"/>
          <w:u w:val="single"/>
        </w:rPr>
        <w:t>）</w:t>
      </w:r>
    </w:p>
    <w:p>
      <w:pPr>
        <w:wordWrap w:val="0"/>
        <w:spacing w:line="360" w:lineRule="auto"/>
        <w:ind w:right="560" w:firstLine="3120" w:firstLineChars="1300"/>
        <w:jc w:val="right"/>
        <w:rPr>
          <w:rFonts w:ascii="宋体" w:cs="Times New Roman"/>
          <w:sz w:val="24"/>
          <w:szCs w:val="24"/>
        </w:rPr>
      </w:pPr>
      <w:r>
        <w:rPr>
          <w:rFonts w:hint="eastAsia" w:ascii="宋体" w:hAnsi="宋体" w:cs="宋体"/>
          <w:sz w:val="24"/>
          <w:szCs w:val="24"/>
        </w:rPr>
        <w:t>日期：年月日</w:t>
      </w:r>
    </w:p>
    <w:p>
      <w:pPr>
        <w:spacing w:line="700" w:lineRule="exact"/>
        <w:rPr>
          <w:rFonts w:ascii="宋体" w:cs="Times New Roman"/>
          <w:sz w:val="24"/>
          <w:szCs w:val="24"/>
        </w:rPr>
      </w:pPr>
    </w:p>
    <w:p>
      <w:pPr>
        <w:tabs>
          <w:tab w:val="left" w:pos="6300"/>
        </w:tabs>
        <w:snapToGrid w:val="0"/>
        <w:spacing w:line="360" w:lineRule="auto"/>
        <w:jc w:val="center"/>
        <w:rPr>
          <w:rFonts w:ascii="宋体" w:cs="Times New Roman"/>
          <w:sz w:val="24"/>
          <w:szCs w:val="24"/>
        </w:rPr>
      </w:pPr>
    </w:p>
    <w:p>
      <w:pPr>
        <w:tabs>
          <w:tab w:val="left" w:pos="6300"/>
        </w:tabs>
        <w:snapToGrid w:val="0"/>
        <w:spacing w:line="360" w:lineRule="auto"/>
        <w:jc w:val="center"/>
        <w:rPr>
          <w:rFonts w:ascii="宋体" w:cs="Times New Roman"/>
          <w:sz w:val="24"/>
          <w:szCs w:val="24"/>
        </w:rPr>
      </w:pPr>
      <w:r>
        <w:rPr>
          <w:rFonts w:hint="eastAsia" w:ascii="宋体" w:hAnsi="宋体" w:cs="宋体"/>
          <w:sz w:val="24"/>
          <w:szCs w:val="24"/>
        </w:rPr>
        <w:t>特殊资格条件证书复印件（原件备查）</w:t>
      </w: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spacing w:line="360" w:lineRule="auto"/>
        <w:ind w:right="560"/>
        <w:rPr>
          <w:rFonts w:ascii="宋体" w:cs="Times New Roman"/>
          <w:sz w:val="24"/>
          <w:szCs w:val="24"/>
        </w:rPr>
      </w:pPr>
    </w:p>
    <w:p>
      <w:pPr>
        <w:rPr>
          <w:rFonts w:ascii="宋体" w:cs="Times New Roman"/>
          <w:b/>
          <w:bCs/>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rPr>
          <w:rFonts w:ascii="宋体" w:cs="Times New Roman"/>
          <w:sz w:val="24"/>
          <w:szCs w:val="24"/>
        </w:rPr>
      </w:pPr>
    </w:p>
    <w:p>
      <w:pPr>
        <w:spacing w:line="360" w:lineRule="auto"/>
        <w:jc w:val="center"/>
        <w:rPr>
          <w:rFonts w:ascii="宋体" w:cs="Times New Roman"/>
          <w:sz w:val="24"/>
          <w:szCs w:val="24"/>
        </w:rPr>
      </w:pPr>
      <w:r>
        <w:rPr>
          <w:rFonts w:hint="eastAsia" w:ascii="宋体" w:hAnsi="宋体" w:cs="宋体"/>
          <w:sz w:val="24"/>
          <w:szCs w:val="24"/>
        </w:rPr>
        <w:t>资格声明函</w:t>
      </w:r>
    </w:p>
    <w:p>
      <w:pPr>
        <w:ind w:firstLine="600" w:firstLineChars="200"/>
        <w:rPr>
          <w:rFonts w:ascii="仿宋" w:hAnsi="仿宋" w:eastAsia="仿宋" w:cs="Times New Roman"/>
          <w:sz w:val="30"/>
          <w:szCs w:val="30"/>
        </w:rPr>
      </w:pPr>
    </w:p>
    <w:p>
      <w:pPr>
        <w:spacing w:line="360" w:lineRule="auto"/>
        <w:ind w:firstLine="480" w:firstLineChars="200"/>
        <w:jc w:val="center"/>
        <w:rPr>
          <w:rFonts w:ascii="宋体" w:cs="Times New Roman"/>
          <w:sz w:val="24"/>
          <w:szCs w:val="24"/>
        </w:rPr>
      </w:pPr>
      <w:r>
        <w:rPr>
          <w:rFonts w:hint="eastAsia" w:ascii="宋体" w:hAnsi="宋体" w:cs="宋体"/>
          <w:sz w:val="24"/>
          <w:szCs w:val="24"/>
        </w:rPr>
        <w:t>响应《中华人民共和国政府采购法》第二十二条资格声明函</w:t>
      </w:r>
    </w:p>
    <w:p>
      <w:pPr>
        <w:spacing w:line="360" w:lineRule="auto"/>
        <w:rPr>
          <w:rFonts w:ascii="宋体" w:cs="Times New Roman"/>
          <w:sz w:val="24"/>
          <w:szCs w:val="24"/>
        </w:rPr>
      </w:pPr>
    </w:p>
    <w:p>
      <w:pPr>
        <w:adjustRightInd w:val="0"/>
        <w:snapToGrid w:val="0"/>
        <w:spacing w:line="360" w:lineRule="auto"/>
        <w:rPr>
          <w:rFonts w:ascii="宋体" w:cs="Times New Roman"/>
          <w:sz w:val="24"/>
          <w:szCs w:val="24"/>
        </w:rPr>
      </w:pPr>
      <w:r>
        <w:rPr>
          <w:rFonts w:hint="eastAsia" w:ascii="宋体" w:hAnsi="宋体" w:cs="宋体"/>
          <w:sz w:val="24"/>
          <w:szCs w:val="24"/>
          <w:u w:val="single"/>
        </w:rPr>
        <w:t>重庆</w:t>
      </w:r>
      <w:r>
        <w:rPr>
          <w:rFonts w:hint="eastAsia" w:ascii="宋体" w:hAnsi="宋体" w:cs="宋体"/>
          <w:sz w:val="24"/>
          <w:szCs w:val="24"/>
          <w:u w:val="single"/>
          <w:lang w:eastAsia="zh-CN"/>
        </w:rPr>
        <w:t>莘莘餐饮管理有限公司</w:t>
      </w:r>
      <w:r>
        <w:rPr>
          <w:rFonts w:hint="eastAsia" w:ascii="宋体" w:hAnsi="宋体" w:cs="宋体"/>
          <w:sz w:val="24"/>
          <w:szCs w:val="24"/>
        </w:rPr>
        <w:t>：</w:t>
      </w:r>
    </w:p>
    <w:p>
      <w:pPr>
        <w:spacing w:line="360" w:lineRule="auto"/>
        <w:ind w:firstLine="600" w:firstLineChars="250"/>
        <w:rPr>
          <w:rFonts w:ascii="宋体" w:cs="Times New Roman"/>
          <w:sz w:val="24"/>
          <w:szCs w:val="24"/>
          <w:highlight w:val="yellow"/>
        </w:rPr>
      </w:pPr>
      <w:r>
        <w:rPr>
          <w:rFonts w:hint="eastAsia" w:ascii="宋体" w:hAnsi="宋体" w:cs="宋体"/>
          <w:sz w:val="24"/>
          <w:szCs w:val="24"/>
        </w:rPr>
        <w:t>关于贵单位年月日发布：</w:t>
      </w:r>
      <w:r>
        <w:rPr>
          <w:rFonts w:hint="eastAsia" w:ascii="宋体" w:hAnsi="宋体" w:cs="宋体"/>
          <w:sz w:val="24"/>
          <w:szCs w:val="24"/>
          <w:u w:val="single"/>
        </w:rPr>
        <w:t xml:space="preserve">       </w:t>
      </w:r>
      <w:r>
        <w:rPr>
          <w:rFonts w:hint="eastAsia" w:ascii="宋体" w:hAnsi="宋体" w:cs="宋体"/>
          <w:sz w:val="24"/>
          <w:szCs w:val="24"/>
        </w:rPr>
        <w:t>的招标公告，本公司（企业）愿意参加投标，并声明：本公司（企业）具备《中华人民共和国政府采购法》第二十二条资格条件，并已清楚招标文件的要求及有关文件规定，并承诺在本次招标采购活动中，如有违法、违规、弄虚作假行为，所造成的损失、不良后果及法律责任，一律由我公司（企业）承担。</w:t>
      </w:r>
    </w:p>
    <w:p>
      <w:pPr>
        <w:spacing w:line="360" w:lineRule="auto"/>
        <w:ind w:firstLine="480" w:firstLineChars="200"/>
        <w:rPr>
          <w:rFonts w:ascii="宋体" w:cs="Times New Roman"/>
          <w:sz w:val="24"/>
          <w:szCs w:val="24"/>
        </w:rPr>
      </w:pPr>
      <w:r>
        <w:rPr>
          <w:rFonts w:hint="eastAsia" w:ascii="宋体" w:hAnsi="宋体" w:cs="宋体"/>
          <w:sz w:val="24"/>
          <w:szCs w:val="24"/>
        </w:rPr>
        <w:t>特此声明！</w:t>
      </w:r>
    </w:p>
    <w:p>
      <w:pPr>
        <w:spacing w:line="360" w:lineRule="auto"/>
        <w:ind w:firstLine="480" w:firstLineChars="200"/>
        <w:rPr>
          <w:rFonts w:ascii="宋体" w:cs="Times New Roman"/>
          <w:sz w:val="24"/>
          <w:szCs w:val="24"/>
        </w:rPr>
      </w:pPr>
    </w:p>
    <w:p>
      <w:pPr>
        <w:spacing w:line="360" w:lineRule="auto"/>
        <w:ind w:firstLine="480" w:firstLineChars="200"/>
        <w:rPr>
          <w:rFonts w:ascii="宋体" w:cs="Times New Roman"/>
          <w:sz w:val="24"/>
          <w:szCs w:val="24"/>
        </w:rPr>
      </w:pPr>
    </w:p>
    <w:p>
      <w:pPr>
        <w:spacing w:line="360" w:lineRule="auto"/>
        <w:ind w:firstLine="480" w:firstLineChars="200"/>
        <w:jc w:val="right"/>
        <w:rPr>
          <w:rFonts w:ascii="宋体" w:cs="Times New Roman"/>
          <w:sz w:val="24"/>
          <w:szCs w:val="24"/>
        </w:rPr>
      </w:pPr>
      <w:r>
        <w:rPr>
          <w:rFonts w:hint="eastAsia" w:ascii="宋体" w:hAnsi="宋体" w:cs="宋体"/>
          <w:sz w:val="24"/>
          <w:szCs w:val="24"/>
        </w:rPr>
        <w:t>投标人：</w:t>
      </w:r>
      <w:r>
        <w:rPr>
          <w:rFonts w:hint="eastAsia" w:ascii="宋体" w:hAnsi="宋体" w:cs="宋体"/>
          <w:sz w:val="24"/>
          <w:szCs w:val="24"/>
          <w:u w:val="single"/>
        </w:rPr>
        <w:t>（公章）</w:t>
      </w:r>
    </w:p>
    <w:p>
      <w:pPr>
        <w:spacing w:line="360" w:lineRule="auto"/>
        <w:ind w:firstLine="480" w:firstLineChars="200"/>
        <w:jc w:val="right"/>
        <w:rPr>
          <w:rFonts w:ascii="宋体" w:cs="Times New Roman"/>
          <w:sz w:val="24"/>
          <w:szCs w:val="24"/>
        </w:rPr>
      </w:pPr>
      <w:r>
        <w:rPr>
          <w:rFonts w:hint="eastAsia" w:ascii="宋体" w:hAnsi="宋体" w:cs="宋体"/>
          <w:sz w:val="24"/>
          <w:szCs w:val="24"/>
        </w:rPr>
        <w:t>法定代表人或授权代表：</w:t>
      </w:r>
      <w:r>
        <w:rPr>
          <w:rFonts w:hint="eastAsia" w:ascii="宋体" w:hAnsi="宋体" w:cs="宋体"/>
          <w:sz w:val="24"/>
          <w:szCs w:val="24"/>
          <w:u w:val="single"/>
        </w:rPr>
        <w:t>（</w:t>
      </w:r>
      <w:r>
        <w:rPr>
          <w:rFonts w:hint="eastAsia" w:ascii="宋体" w:hAnsi="宋体" w:cs="宋体"/>
          <w:sz w:val="24"/>
          <w:szCs w:val="24"/>
          <w:u w:val="single"/>
          <w:lang w:eastAsia="zh-CN"/>
        </w:rPr>
        <w:t>签字或盖章</w:t>
      </w:r>
      <w:r>
        <w:rPr>
          <w:rFonts w:hint="eastAsia" w:ascii="宋体" w:hAnsi="宋体" w:cs="宋体"/>
          <w:sz w:val="24"/>
          <w:szCs w:val="24"/>
          <w:u w:val="single"/>
        </w:rPr>
        <w:t>）</w:t>
      </w:r>
    </w:p>
    <w:p>
      <w:pPr>
        <w:wordWrap w:val="0"/>
        <w:spacing w:line="360" w:lineRule="auto"/>
        <w:ind w:right="150" w:firstLine="480" w:firstLineChars="200"/>
        <w:jc w:val="right"/>
        <w:rPr>
          <w:rFonts w:ascii="宋体" w:cs="Times New Roman"/>
          <w:sz w:val="24"/>
          <w:szCs w:val="24"/>
        </w:rPr>
      </w:pPr>
      <w:r>
        <w:rPr>
          <w:rFonts w:hint="eastAsia" w:ascii="宋体" w:hAnsi="宋体" w:cs="宋体"/>
          <w:sz w:val="24"/>
          <w:szCs w:val="24"/>
        </w:rPr>
        <w:t>日期：年月日</w:t>
      </w:r>
    </w:p>
    <w:p>
      <w:pPr>
        <w:spacing w:line="700" w:lineRule="exact"/>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tabs>
          <w:tab w:val="left" w:pos="1180"/>
        </w:tabs>
        <w:spacing w:line="360" w:lineRule="auto"/>
        <w:ind w:firstLine="480" w:firstLineChars="200"/>
        <w:jc w:val="center"/>
        <w:rPr>
          <w:rFonts w:ascii="宋体" w:cs="Times New Roman"/>
          <w:sz w:val="24"/>
          <w:szCs w:val="24"/>
          <w:u w:val="single"/>
        </w:rPr>
      </w:pPr>
    </w:p>
    <w:p>
      <w:pPr>
        <w:spacing w:line="360" w:lineRule="auto"/>
        <w:rPr>
          <w:rFonts w:ascii="宋体" w:cs="Times New Roman"/>
          <w:sz w:val="24"/>
          <w:szCs w:val="24"/>
        </w:rPr>
      </w:pPr>
    </w:p>
    <w:p>
      <w:pPr>
        <w:spacing w:line="360" w:lineRule="auto"/>
        <w:jc w:val="center"/>
        <w:rPr>
          <w:rFonts w:ascii="宋体" w:cs="Times New Roman"/>
          <w:sz w:val="24"/>
          <w:szCs w:val="24"/>
        </w:rPr>
      </w:pPr>
      <w:r>
        <w:rPr>
          <w:rFonts w:hint="eastAsia" w:ascii="宋体" w:hAnsi="宋体" w:cs="宋体"/>
          <w:sz w:val="24"/>
          <w:szCs w:val="24"/>
        </w:rPr>
        <w:t>无附加条件声明函</w:t>
      </w:r>
    </w:p>
    <w:p>
      <w:pPr>
        <w:spacing w:line="360" w:lineRule="auto"/>
        <w:jc w:val="center"/>
        <w:rPr>
          <w:rFonts w:ascii="宋体" w:cs="Times New Roman"/>
          <w:sz w:val="24"/>
          <w:szCs w:val="24"/>
        </w:rPr>
      </w:pPr>
    </w:p>
    <w:p>
      <w:pPr>
        <w:adjustRightInd w:val="0"/>
        <w:snapToGrid w:val="0"/>
        <w:spacing w:line="360" w:lineRule="auto"/>
        <w:rPr>
          <w:rFonts w:ascii="宋体" w:cs="Times New Roman"/>
          <w:sz w:val="24"/>
          <w:szCs w:val="24"/>
        </w:rPr>
      </w:pPr>
      <w:r>
        <w:rPr>
          <w:rFonts w:hint="eastAsia" w:ascii="宋体" w:hAnsi="宋体" w:cs="宋体"/>
          <w:sz w:val="24"/>
          <w:szCs w:val="24"/>
          <w:u w:val="single"/>
        </w:rPr>
        <w:t>重庆</w:t>
      </w:r>
      <w:r>
        <w:rPr>
          <w:rFonts w:hint="eastAsia" w:ascii="宋体" w:hAnsi="宋体" w:cs="宋体"/>
          <w:sz w:val="24"/>
          <w:szCs w:val="24"/>
          <w:u w:val="single"/>
          <w:lang w:eastAsia="zh-CN"/>
        </w:rPr>
        <w:t>莘莘餐饮管理有限公司</w:t>
      </w:r>
      <w:r>
        <w:rPr>
          <w:rFonts w:hint="eastAsia" w:ascii="宋体" w:hAnsi="宋体" w:cs="宋体"/>
          <w:sz w:val="24"/>
          <w:szCs w:val="24"/>
        </w:rPr>
        <w:t>：</w:t>
      </w:r>
    </w:p>
    <w:p>
      <w:pPr>
        <w:spacing w:line="360" w:lineRule="auto"/>
        <w:ind w:firstLine="600" w:firstLineChars="250"/>
        <w:rPr>
          <w:rFonts w:ascii="宋体" w:cs="Times New Roman"/>
          <w:sz w:val="24"/>
          <w:szCs w:val="24"/>
          <w:highlight w:val="yellow"/>
        </w:rPr>
      </w:pPr>
      <w:r>
        <w:rPr>
          <w:rFonts w:hint="eastAsia" w:ascii="宋体" w:hAnsi="宋体" w:cs="宋体"/>
          <w:sz w:val="24"/>
          <w:szCs w:val="24"/>
        </w:rPr>
        <w:t>关于贵单位年月日发布：</w:t>
      </w:r>
      <w:r>
        <w:rPr>
          <w:rFonts w:hint="eastAsia" w:ascii="宋体" w:hAnsi="宋体" w:cs="宋体"/>
          <w:sz w:val="24"/>
          <w:szCs w:val="24"/>
          <w:lang w:val="en-US" w:eastAsia="zh-CN"/>
        </w:rPr>
        <w:t xml:space="preserve">       </w:t>
      </w:r>
      <w:r>
        <w:rPr>
          <w:rFonts w:hint="eastAsia" w:ascii="宋体" w:hAnsi="宋体" w:cs="宋体"/>
          <w:sz w:val="24"/>
          <w:szCs w:val="24"/>
        </w:rPr>
        <w:t>（项目</w:t>
      </w:r>
      <w:r>
        <w:rPr>
          <w:rFonts w:hint="eastAsia" w:ascii="宋体" w:hAnsi="宋体" w:cs="宋体"/>
          <w:sz w:val="24"/>
          <w:szCs w:val="24"/>
          <w:lang w:val="en-US" w:eastAsia="zh-CN"/>
        </w:rPr>
        <w:t>名称</w:t>
      </w:r>
      <w:r>
        <w:rPr>
          <w:rFonts w:hint="eastAsia" w:ascii="宋体" w:hAnsi="宋体" w:cs="宋体"/>
          <w:sz w:val="24"/>
          <w:szCs w:val="24"/>
        </w:rPr>
        <w:t>）的招标公告，本公司（企业）愿意参加投标，并声明：本公司（企业）具备《中华人民共和国政府采购法》第二十二条资格条件，并已清楚招标文件的要求及有关文件规定，并承诺在本次招标采购活动中，对招标人无任何附加条件。</w:t>
      </w:r>
    </w:p>
    <w:p>
      <w:pPr>
        <w:spacing w:line="360" w:lineRule="auto"/>
        <w:ind w:firstLine="480" w:firstLineChars="200"/>
        <w:rPr>
          <w:rFonts w:ascii="宋体" w:cs="Times New Roman"/>
          <w:sz w:val="24"/>
          <w:szCs w:val="24"/>
        </w:rPr>
      </w:pPr>
      <w:r>
        <w:rPr>
          <w:rFonts w:hint="eastAsia" w:ascii="宋体" w:hAnsi="宋体" w:cs="宋体"/>
          <w:sz w:val="24"/>
          <w:szCs w:val="24"/>
        </w:rPr>
        <w:t>特此声明！</w:t>
      </w:r>
    </w:p>
    <w:p>
      <w:pPr>
        <w:spacing w:line="360" w:lineRule="auto"/>
        <w:ind w:firstLine="480" w:firstLineChars="200"/>
        <w:rPr>
          <w:rFonts w:ascii="宋体" w:cs="Times New Roman"/>
          <w:sz w:val="24"/>
          <w:szCs w:val="24"/>
        </w:rPr>
      </w:pPr>
    </w:p>
    <w:p>
      <w:pPr>
        <w:spacing w:line="360" w:lineRule="auto"/>
        <w:ind w:firstLine="482" w:firstLineChars="200"/>
        <w:rPr>
          <w:rFonts w:ascii="宋体" w:cs="Times New Roman"/>
          <w:b/>
          <w:bCs/>
          <w:sz w:val="24"/>
          <w:szCs w:val="24"/>
        </w:rPr>
      </w:pPr>
    </w:p>
    <w:p>
      <w:pPr>
        <w:spacing w:line="360" w:lineRule="auto"/>
        <w:ind w:firstLine="482" w:firstLineChars="200"/>
        <w:jc w:val="right"/>
        <w:rPr>
          <w:rFonts w:ascii="宋体" w:cs="Times New Roman"/>
          <w:b/>
          <w:bCs/>
          <w:sz w:val="24"/>
          <w:szCs w:val="24"/>
        </w:rPr>
      </w:pPr>
    </w:p>
    <w:p>
      <w:pPr>
        <w:spacing w:line="360" w:lineRule="auto"/>
        <w:ind w:firstLine="482" w:firstLineChars="200"/>
        <w:jc w:val="right"/>
        <w:rPr>
          <w:rFonts w:ascii="宋体" w:cs="Times New Roman"/>
          <w:b/>
          <w:bCs/>
          <w:sz w:val="24"/>
          <w:szCs w:val="24"/>
        </w:rPr>
      </w:pPr>
    </w:p>
    <w:p>
      <w:pPr>
        <w:spacing w:line="360" w:lineRule="auto"/>
        <w:ind w:firstLine="480" w:firstLineChars="200"/>
        <w:jc w:val="right"/>
        <w:rPr>
          <w:rFonts w:ascii="宋体" w:cs="Times New Roman"/>
          <w:sz w:val="24"/>
          <w:szCs w:val="24"/>
        </w:rPr>
      </w:pPr>
    </w:p>
    <w:p>
      <w:pPr>
        <w:spacing w:line="360" w:lineRule="auto"/>
        <w:ind w:firstLine="480" w:firstLineChars="200"/>
        <w:jc w:val="right"/>
        <w:rPr>
          <w:rFonts w:ascii="宋体" w:cs="Times New Roman"/>
          <w:sz w:val="24"/>
          <w:szCs w:val="24"/>
        </w:rPr>
      </w:pPr>
      <w:r>
        <w:rPr>
          <w:rFonts w:hint="eastAsia" w:ascii="宋体" w:hAnsi="宋体" w:cs="宋体"/>
          <w:sz w:val="24"/>
          <w:szCs w:val="24"/>
        </w:rPr>
        <w:t>投标人：</w:t>
      </w:r>
      <w:r>
        <w:rPr>
          <w:rFonts w:hint="eastAsia" w:ascii="宋体" w:hAnsi="宋体" w:cs="宋体"/>
          <w:sz w:val="24"/>
          <w:szCs w:val="24"/>
          <w:u w:val="single"/>
        </w:rPr>
        <w:t>（公章）</w:t>
      </w:r>
    </w:p>
    <w:p>
      <w:pPr>
        <w:spacing w:line="360" w:lineRule="auto"/>
        <w:ind w:firstLine="480" w:firstLineChars="200"/>
        <w:jc w:val="right"/>
        <w:rPr>
          <w:rFonts w:ascii="宋体" w:cs="Times New Roman"/>
          <w:sz w:val="24"/>
          <w:szCs w:val="24"/>
        </w:rPr>
      </w:pPr>
      <w:r>
        <w:rPr>
          <w:rFonts w:hint="eastAsia" w:ascii="宋体" w:hAnsi="宋体" w:cs="宋体"/>
          <w:sz w:val="24"/>
          <w:szCs w:val="24"/>
        </w:rPr>
        <w:t>法定代表人或授权代表：</w:t>
      </w:r>
      <w:r>
        <w:rPr>
          <w:rFonts w:hint="eastAsia" w:ascii="宋体" w:hAnsi="宋体" w:cs="宋体"/>
          <w:sz w:val="24"/>
          <w:szCs w:val="24"/>
          <w:u w:val="single"/>
        </w:rPr>
        <w:t>（</w:t>
      </w:r>
      <w:r>
        <w:rPr>
          <w:rFonts w:hint="eastAsia" w:ascii="宋体" w:hAnsi="宋体" w:cs="宋体"/>
          <w:sz w:val="24"/>
          <w:szCs w:val="24"/>
          <w:u w:val="single"/>
          <w:lang w:eastAsia="zh-CN"/>
        </w:rPr>
        <w:t>签字或盖章</w:t>
      </w:r>
      <w:r>
        <w:rPr>
          <w:rFonts w:hint="eastAsia" w:ascii="宋体" w:hAnsi="宋体" w:cs="宋体"/>
          <w:sz w:val="24"/>
          <w:szCs w:val="24"/>
          <w:u w:val="single"/>
        </w:rPr>
        <w:t>）</w:t>
      </w:r>
    </w:p>
    <w:p>
      <w:pPr>
        <w:tabs>
          <w:tab w:val="left" w:pos="1180"/>
        </w:tabs>
        <w:wordWrap w:val="0"/>
        <w:spacing w:line="360" w:lineRule="auto"/>
        <w:ind w:firstLine="480" w:firstLineChars="200"/>
        <w:jc w:val="right"/>
        <w:rPr>
          <w:rFonts w:ascii="宋体" w:cs="Times New Roman"/>
          <w:sz w:val="24"/>
          <w:szCs w:val="24"/>
        </w:rPr>
      </w:pPr>
      <w:r>
        <w:rPr>
          <w:rFonts w:hint="eastAsia" w:ascii="宋体" w:hAnsi="宋体" w:cs="宋体"/>
          <w:sz w:val="24"/>
          <w:szCs w:val="24"/>
        </w:rPr>
        <w:t>日期：年月日</w:t>
      </w: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spacing w:line="360" w:lineRule="auto"/>
        <w:rPr>
          <w:rFonts w:ascii="宋体" w:cs="Times New Roman"/>
          <w:sz w:val="24"/>
          <w:szCs w:val="24"/>
        </w:rPr>
      </w:pPr>
    </w:p>
    <w:p>
      <w:pPr>
        <w:tabs>
          <w:tab w:val="left" w:pos="1180"/>
        </w:tabs>
        <w:spacing w:line="360" w:lineRule="auto"/>
        <w:jc w:val="center"/>
        <w:rPr>
          <w:rFonts w:ascii="宋体" w:cs="Times New Roman"/>
          <w:sz w:val="24"/>
          <w:szCs w:val="24"/>
        </w:rPr>
      </w:pPr>
      <w:r>
        <w:rPr>
          <w:rFonts w:hint="eastAsia" w:ascii="宋体" w:hAnsi="宋体" w:cs="宋体"/>
          <w:sz w:val="24"/>
          <w:szCs w:val="24"/>
        </w:rPr>
        <w:t>其它资料（格式自理）</w:t>
      </w: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ind w:firstLine="480" w:firstLineChars="200"/>
        <w:jc w:val="center"/>
        <w:rPr>
          <w:rFonts w:ascii="宋体" w:cs="Times New Roman"/>
          <w:sz w:val="24"/>
          <w:szCs w:val="24"/>
        </w:rPr>
      </w:pPr>
    </w:p>
    <w:p>
      <w:pPr>
        <w:tabs>
          <w:tab w:val="left" w:pos="1180"/>
        </w:tabs>
        <w:spacing w:line="360" w:lineRule="auto"/>
        <w:rPr>
          <w:rFonts w:ascii="宋体" w:cs="Times New Roman"/>
          <w:sz w:val="24"/>
          <w:szCs w:val="24"/>
        </w:rPr>
      </w:pPr>
    </w:p>
    <w:p>
      <w:pPr>
        <w:spacing w:line="360" w:lineRule="auto"/>
        <w:ind w:firstLine="480" w:firstLineChars="200"/>
        <w:jc w:val="right"/>
        <w:rPr>
          <w:rFonts w:ascii="宋体" w:cs="Times New Roman"/>
          <w:sz w:val="24"/>
          <w:szCs w:val="24"/>
        </w:rPr>
      </w:pPr>
    </w:p>
    <w:p>
      <w:pPr>
        <w:spacing w:line="360" w:lineRule="auto"/>
        <w:ind w:firstLine="480" w:firstLineChars="200"/>
        <w:jc w:val="right"/>
        <w:rPr>
          <w:rFonts w:ascii="宋体" w:cs="Times New Roman"/>
          <w:sz w:val="24"/>
          <w:szCs w:val="24"/>
        </w:rPr>
      </w:pPr>
      <w:r>
        <w:rPr>
          <w:rFonts w:hint="eastAsia" w:ascii="宋体" w:hAnsi="宋体" w:cs="宋体"/>
          <w:sz w:val="24"/>
          <w:szCs w:val="24"/>
        </w:rPr>
        <w:t>投标人：</w:t>
      </w:r>
      <w:r>
        <w:rPr>
          <w:rFonts w:hint="eastAsia" w:ascii="宋体" w:hAnsi="宋体" w:cs="宋体"/>
          <w:sz w:val="24"/>
          <w:szCs w:val="24"/>
          <w:u w:val="single"/>
        </w:rPr>
        <w:t>（公章）</w:t>
      </w:r>
    </w:p>
    <w:p>
      <w:pPr>
        <w:spacing w:line="360" w:lineRule="auto"/>
        <w:ind w:firstLine="480" w:firstLineChars="200"/>
        <w:jc w:val="right"/>
        <w:rPr>
          <w:rFonts w:ascii="宋体" w:cs="Times New Roman"/>
          <w:sz w:val="24"/>
          <w:szCs w:val="24"/>
        </w:rPr>
      </w:pPr>
      <w:r>
        <w:rPr>
          <w:rFonts w:hint="eastAsia" w:ascii="宋体" w:hAnsi="宋体" w:cs="宋体"/>
          <w:sz w:val="24"/>
          <w:szCs w:val="24"/>
        </w:rPr>
        <w:t>法定代表人或授权代表：</w:t>
      </w:r>
      <w:r>
        <w:rPr>
          <w:rFonts w:hint="eastAsia" w:ascii="宋体" w:hAnsi="宋体" w:cs="宋体"/>
          <w:sz w:val="24"/>
          <w:szCs w:val="24"/>
          <w:u w:val="single"/>
        </w:rPr>
        <w:t>（</w:t>
      </w:r>
      <w:r>
        <w:rPr>
          <w:rFonts w:hint="eastAsia" w:ascii="宋体" w:hAnsi="宋体" w:cs="宋体"/>
          <w:sz w:val="24"/>
          <w:szCs w:val="24"/>
          <w:u w:val="single"/>
          <w:lang w:eastAsia="zh-CN"/>
        </w:rPr>
        <w:t>签字或盖章</w:t>
      </w:r>
      <w:bookmarkStart w:id="25" w:name="_GoBack"/>
      <w:bookmarkEnd w:id="25"/>
      <w:r>
        <w:rPr>
          <w:rFonts w:hint="eastAsia" w:ascii="宋体" w:hAnsi="宋体" w:cs="宋体"/>
          <w:sz w:val="24"/>
          <w:szCs w:val="24"/>
          <w:u w:val="single"/>
        </w:rPr>
        <w:t>）</w:t>
      </w:r>
    </w:p>
    <w:p>
      <w:pPr>
        <w:tabs>
          <w:tab w:val="left" w:pos="1180"/>
        </w:tabs>
        <w:wordWrap w:val="0"/>
        <w:spacing w:line="360" w:lineRule="auto"/>
        <w:ind w:firstLine="480" w:firstLineChars="200"/>
        <w:jc w:val="right"/>
        <w:rPr>
          <w:rFonts w:ascii="宋体" w:cs="Times New Roman"/>
          <w:sz w:val="24"/>
          <w:szCs w:val="24"/>
        </w:rPr>
      </w:pPr>
      <w:r>
        <w:rPr>
          <w:rFonts w:hint="eastAsia" w:ascii="宋体" w:hAnsi="宋体" w:cs="宋体"/>
          <w:sz w:val="24"/>
          <w:szCs w:val="24"/>
        </w:rPr>
        <w:t>日期：年月日</w:t>
      </w:r>
    </w:p>
    <w:p>
      <w:pPr>
        <w:tabs>
          <w:tab w:val="left" w:pos="1180"/>
        </w:tabs>
        <w:spacing w:line="360" w:lineRule="auto"/>
        <w:ind w:firstLine="480" w:firstLineChars="200"/>
        <w:jc w:val="right"/>
        <w:rPr>
          <w:rFonts w:ascii="宋体" w:cs="Times New Roman"/>
          <w:sz w:val="24"/>
          <w:szCs w:val="24"/>
        </w:rPr>
      </w:pPr>
    </w:p>
    <w:p>
      <w:pPr>
        <w:tabs>
          <w:tab w:val="left" w:pos="1180"/>
        </w:tabs>
        <w:spacing w:line="360" w:lineRule="auto"/>
        <w:ind w:firstLine="480" w:firstLineChars="200"/>
        <w:jc w:val="right"/>
        <w:rPr>
          <w:rFonts w:ascii="宋体" w:cs="Times New Roman"/>
          <w:sz w:val="24"/>
          <w:szCs w:val="24"/>
        </w:rPr>
      </w:pPr>
    </w:p>
    <w:p>
      <w:pPr>
        <w:tabs>
          <w:tab w:val="left" w:pos="1180"/>
        </w:tabs>
        <w:spacing w:line="360" w:lineRule="auto"/>
        <w:ind w:firstLine="480" w:firstLineChars="200"/>
        <w:jc w:val="right"/>
        <w:rPr>
          <w:rFonts w:ascii="宋体" w:cs="Times New Roman"/>
          <w:sz w:val="24"/>
          <w:szCs w:val="24"/>
        </w:rPr>
      </w:pPr>
    </w:p>
    <w:p>
      <w:pPr>
        <w:tabs>
          <w:tab w:val="left" w:pos="1180"/>
        </w:tabs>
        <w:spacing w:line="360" w:lineRule="auto"/>
        <w:ind w:firstLine="480" w:firstLineChars="200"/>
        <w:jc w:val="right"/>
        <w:rPr>
          <w:rFonts w:ascii="宋体" w:cs="Times New Roman"/>
          <w:sz w:val="24"/>
          <w:szCs w:val="24"/>
        </w:rPr>
      </w:pPr>
    </w:p>
    <w:p>
      <w:pPr>
        <w:tabs>
          <w:tab w:val="left" w:pos="1180"/>
        </w:tabs>
        <w:spacing w:line="360" w:lineRule="auto"/>
        <w:ind w:firstLine="480" w:firstLineChars="200"/>
        <w:jc w:val="right"/>
        <w:rPr>
          <w:rFonts w:ascii="宋体" w:cs="Times New Roman"/>
          <w:sz w:val="24"/>
          <w:szCs w:val="24"/>
        </w:rPr>
      </w:pPr>
    </w:p>
    <w:p>
      <w:pPr>
        <w:tabs>
          <w:tab w:val="left" w:pos="1180"/>
        </w:tabs>
        <w:spacing w:line="360" w:lineRule="auto"/>
        <w:ind w:firstLine="480" w:firstLineChars="200"/>
        <w:jc w:val="right"/>
        <w:rPr>
          <w:rFonts w:ascii="宋体" w:cs="Times New Roman"/>
          <w:sz w:val="24"/>
          <w:szCs w:val="24"/>
        </w:rPr>
      </w:pPr>
    </w:p>
    <w:p>
      <w:pPr>
        <w:tabs>
          <w:tab w:val="left" w:pos="1180"/>
        </w:tabs>
        <w:spacing w:line="360" w:lineRule="auto"/>
        <w:ind w:firstLine="480" w:firstLineChars="200"/>
        <w:jc w:val="right"/>
        <w:rPr>
          <w:rFonts w:ascii="宋体" w:cs="Times New Roman"/>
          <w:sz w:val="24"/>
          <w:szCs w:val="24"/>
        </w:rPr>
      </w:pPr>
    </w:p>
    <w:p>
      <w:pPr>
        <w:tabs>
          <w:tab w:val="left" w:pos="1180"/>
        </w:tabs>
        <w:spacing w:line="360" w:lineRule="auto"/>
        <w:ind w:right="480"/>
        <w:rPr>
          <w:rFonts w:ascii="宋体" w:cs="宋体"/>
          <w:sz w:val="24"/>
          <w:szCs w:val="24"/>
        </w:rPr>
      </w:pPr>
    </w:p>
    <w:p>
      <w:pPr>
        <w:tabs>
          <w:tab w:val="left" w:pos="1180"/>
        </w:tabs>
        <w:spacing w:line="360" w:lineRule="auto"/>
        <w:ind w:right="480"/>
        <w:rPr>
          <w:rFonts w:ascii="宋体" w:cs="宋体"/>
          <w:sz w:val="24"/>
          <w:szCs w:val="24"/>
        </w:rPr>
      </w:pPr>
    </w:p>
    <w:p>
      <w:pPr>
        <w:tabs>
          <w:tab w:val="left" w:pos="1180"/>
        </w:tabs>
        <w:spacing w:line="360" w:lineRule="auto"/>
        <w:ind w:firstLine="480" w:firstLineChars="200"/>
        <w:jc w:val="right"/>
        <w:rPr>
          <w:rFonts w:ascii="宋体" w:cs="Times New Roman"/>
          <w:sz w:val="24"/>
          <w:szCs w:val="24"/>
        </w:rPr>
      </w:pPr>
    </w:p>
    <w:p>
      <w:pPr>
        <w:spacing w:line="600" w:lineRule="exact"/>
        <w:jc w:val="center"/>
        <w:rPr>
          <w:rFonts w:ascii="宋体" w:cs="Times New Roman"/>
          <w:b/>
          <w:bCs/>
          <w:sz w:val="32"/>
          <w:szCs w:val="32"/>
        </w:rPr>
      </w:pPr>
      <w:bookmarkStart w:id="21" w:name="page27"/>
      <w:bookmarkEnd w:id="21"/>
      <w:r>
        <w:rPr>
          <w:rFonts w:hint="eastAsia" w:ascii="宋体" w:hAnsi="宋体" w:cs="宋体"/>
          <w:b/>
          <w:bCs/>
          <w:sz w:val="32"/>
          <w:szCs w:val="32"/>
        </w:rPr>
        <w:t>第七章  合同主要条款</w:t>
      </w:r>
    </w:p>
    <w:p>
      <w:pPr>
        <w:spacing w:line="600" w:lineRule="exact"/>
        <w:rPr>
          <w:rFonts w:ascii="宋体" w:cs="Times New Roman"/>
        </w:rPr>
      </w:pPr>
    </w:p>
    <w:p>
      <w:pPr>
        <w:spacing w:line="600" w:lineRule="exact"/>
        <w:rPr>
          <w:rFonts w:ascii="宋体" w:cs="Times New Roman"/>
        </w:rPr>
      </w:pP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需方（甲方）：</w:t>
      </w:r>
    </w:p>
    <w:p>
      <w:pPr>
        <w:spacing w:line="600" w:lineRule="exact"/>
        <w:rPr>
          <w:rFonts w:cs="Times New Roman" w:asciiTheme="minorEastAsia" w:hAnsiTheme="minorEastAsia" w:eastAsiaTheme="minorEastAsia"/>
          <w:sz w:val="24"/>
          <w:szCs w:val="24"/>
        </w:rPr>
      </w:pPr>
      <w:r>
        <w:rPr>
          <w:rFonts w:asciiTheme="minorEastAsia" w:hAnsiTheme="minorEastAsia" w:eastAsiaTheme="minorEastAsia"/>
          <w:sz w:val="24"/>
          <w:szCs w:val="24"/>
        </w:rPr>
        <w:drawing>
          <wp:anchor distT="0" distB="0" distL="114300" distR="114300" simplePos="0" relativeHeight="251659264" behindDoc="1" locked="0" layoutInCell="0" allowOverlap="1">
            <wp:simplePos x="0" y="0"/>
            <wp:positionH relativeFrom="column">
              <wp:posOffset>1295400</wp:posOffset>
            </wp:positionH>
            <wp:positionV relativeFrom="paragraph">
              <wp:posOffset>-5715</wp:posOffset>
            </wp:positionV>
            <wp:extent cx="2286000" cy="7620"/>
            <wp:effectExtent l="0" t="3810" r="0" b="0"/>
            <wp:wrapNone/>
            <wp:docPr id="3"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8"/>
                    <pic:cNvPicPr>
                      <a:picLocks noChangeAspect="1" noChangeArrowheads="1"/>
                    </pic:cNvPicPr>
                  </pic:nvPicPr>
                  <pic:blipFill>
                    <a:blip r:embed="rId6"/>
                    <a:srcRect/>
                    <a:stretch>
                      <a:fillRect/>
                    </a:stretch>
                  </pic:blipFill>
                  <pic:spPr>
                    <a:xfrm>
                      <a:off x="0" y="0"/>
                      <a:ext cx="2286000" cy="7620"/>
                    </a:xfrm>
                    <a:prstGeom prst="rect">
                      <a:avLst/>
                    </a:prstGeom>
                    <a:noFill/>
                  </pic:spPr>
                </pic:pic>
              </a:graphicData>
            </a:graphic>
          </wp:anchor>
        </w:drawing>
      </w: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供方（乙方）：</w:t>
      </w:r>
    </w:p>
    <w:p>
      <w:pPr>
        <w:spacing w:line="600" w:lineRule="exact"/>
        <w:rPr>
          <w:rFonts w:cs="Times New Roman" w:asciiTheme="minorEastAsia" w:hAnsiTheme="minorEastAsia" w:eastAsiaTheme="minorEastAsia"/>
          <w:sz w:val="24"/>
          <w:szCs w:val="24"/>
        </w:rPr>
      </w:pPr>
      <w:r>
        <w:rPr>
          <w:rFonts w:asciiTheme="minorEastAsia" w:hAnsiTheme="minorEastAsia" w:eastAsiaTheme="minorEastAsia"/>
          <w:sz w:val="24"/>
          <w:szCs w:val="24"/>
        </w:rPr>
        <w:drawing>
          <wp:anchor distT="0" distB="0" distL="114300" distR="114300" simplePos="0" relativeHeight="251660288" behindDoc="1" locked="0" layoutInCell="0" allowOverlap="1">
            <wp:simplePos x="0" y="0"/>
            <wp:positionH relativeFrom="column">
              <wp:posOffset>1295400</wp:posOffset>
            </wp:positionH>
            <wp:positionV relativeFrom="paragraph">
              <wp:posOffset>-5715</wp:posOffset>
            </wp:positionV>
            <wp:extent cx="2286000" cy="7620"/>
            <wp:effectExtent l="0" t="3810" r="0" b="0"/>
            <wp:wrapNone/>
            <wp:docPr id="4"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9"/>
                    <pic:cNvPicPr>
                      <a:picLocks noChangeAspect="1" noChangeArrowheads="1"/>
                    </pic:cNvPicPr>
                  </pic:nvPicPr>
                  <pic:blipFill>
                    <a:blip r:embed="rId6"/>
                    <a:srcRect/>
                    <a:stretch>
                      <a:fillRect/>
                    </a:stretch>
                  </pic:blipFill>
                  <pic:spPr>
                    <a:xfrm>
                      <a:off x="0" y="0"/>
                      <a:ext cx="2286000" cy="7620"/>
                    </a:xfrm>
                    <a:prstGeom prst="rect">
                      <a:avLst/>
                    </a:prstGeom>
                    <a:noFill/>
                  </pic:spPr>
                </pic:pic>
              </a:graphicData>
            </a:graphic>
          </wp:anchor>
        </w:drawing>
      </w:r>
    </w:p>
    <w:p>
      <w:pPr>
        <w:tabs>
          <w:tab w:val="left" w:pos="2020"/>
          <w:tab w:val="left" w:pos="2620"/>
          <w:tab w:val="left" w:pos="3220"/>
        </w:tabs>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订立时间：</w:t>
      </w:r>
      <w:r>
        <w:rPr>
          <w:rFonts w:cs="Times New Roman" w:asciiTheme="minorEastAsia" w:hAnsiTheme="minorEastAsia" w:eastAsiaTheme="minorEastAsia"/>
          <w:sz w:val="24"/>
          <w:szCs w:val="24"/>
        </w:rPr>
        <w:tab/>
      </w:r>
      <w:r>
        <w:rPr>
          <w:rFonts w:hint="eastAsia" w:cs="宋体" w:asciiTheme="minorEastAsia" w:hAnsiTheme="minorEastAsia" w:eastAsiaTheme="minorEastAsia"/>
          <w:sz w:val="24"/>
          <w:szCs w:val="24"/>
        </w:rPr>
        <w:t>年</w:t>
      </w:r>
      <w:r>
        <w:rPr>
          <w:rFonts w:cs="Times New Roman" w:asciiTheme="minorEastAsia" w:hAnsiTheme="minorEastAsia" w:eastAsiaTheme="minorEastAsia"/>
          <w:sz w:val="24"/>
          <w:szCs w:val="24"/>
        </w:rPr>
        <w:tab/>
      </w:r>
      <w:r>
        <w:rPr>
          <w:rFonts w:hint="eastAsia" w:cs="宋体" w:asciiTheme="minorEastAsia" w:hAnsiTheme="minorEastAsia" w:eastAsiaTheme="minorEastAsia"/>
          <w:sz w:val="24"/>
          <w:szCs w:val="24"/>
        </w:rPr>
        <w:t>月</w:t>
      </w:r>
      <w:r>
        <w:rPr>
          <w:rFonts w:cs="Times New Roman" w:asciiTheme="minorEastAsia" w:hAnsiTheme="minorEastAsia" w:eastAsiaTheme="minorEastAsia"/>
          <w:sz w:val="24"/>
          <w:szCs w:val="24"/>
        </w:rPr>
        <w:tab/>
      </w:r>
      <w:r>
        <w:rPr>
          <w:rFonts w:hint="eastAsia" w:cs="宋体" w:asciiTheme="minorEastAsia" w:hAnsiTheme="minorEastAsia" w:eastAsiaTheme="minorEastAsia"/>
          <w:sz w:val="24"/>
          <w:szCs w:val="24"/>
        </w:rPr>
        <w:t>日。</w:t>
      </w: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订立地点：</w:t>
      </w: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经甲乙双方协商一致，订立本合同，以便共同遵守。</w:t>
      </w:r>
    </w:p>
    <w:p>
      <w:pPr>
        <w:tabs>
          <w:tab w:val="left" w:pos="0"/>
        </w:tabs>
        <w:spacing w:line="600" w:lineRule="exact"/>
        <w:ind w:left="480" w:leftChars="240"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甲方委托，对</w:t>
      </w:r>
      <w:r>
        <w:rPr>
          <w:rFonts w:cs="Times New Roman" w:asciiTheme="minorEastAsia" w:hAnsiTheme="minorEastAsia" w:eastAsiaTheme="minorEastAsia"/>
          <w:sz w:val="24"/>
          <w:szCs w:val="24"/>
          <w:u w:val="single"/>
        </w:rPr>
        <w:tab/>
      </w:r>
      <w:r>
        <w:rPr>
          <w:rFonts w:hint="eastAsia" w:cs="宋体" w:asciiTheme="minorEastAsia" w:hAnsiTheme="minorEastAsia" w:eastAsiaTheme="minorEastAsia"/>
          <w:sz w:val="24"/>
          <w:szCs w:val="24"/>
        </w:rPr>
        <w:t>进行采购，于年月日通过招标方式，确定乙方为中标人。为了保护甲乙双方的合法权益</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根据《中华人民共和国政府采购法》、《中华人民共和国合同法》等相关法律、法规的规定，并严格遵循政府采购项目招标文件的相关规定</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经甲乙双方协商一致，订立本合同。</w:t>
      </w:r>
    </w:p>
    <w:p>
      <w:pPr>
        <w:spacing w:line="600" w:lineRule="exact"/>
        <w:ind w:left="480"/>
        <w:rPr>
          <w:rFonts w:cs="Times New Roman" w:asciiTheme="minorEastAsia" w:hAnsiTheme="minorEastAsia" w:eastAsiaTheme="minorEastAsia"/>
          <w:b/>
          <w:bCs/>
          <w:sz w:val="24"/>
          <w:szCs w:val="24"/>
        </w:rPr>
      </w:pP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b/>
          <w:bCs/>
          <w:sz w:val="24"/>
          <w:szCs w:val="24"/>
        </w:rPr>
        <w:t>一、项目清单及合同金额</w:t>
      </w:r>
      <w:r>
        <w:rPr>
          <w:rFonts w:hint="eastAsia" w:cs="宋体" w:asciiTheme="minorEastAsia" w:hAnsiTheme="minorEastAsia" w:eastAsiaTheme="minorEastAsia"/>
          <w:sz w:val="24"/>
          <w:szCs w:val="24"/>
        </w:rPr>
        <w:t>（详见报价表，附后）</w:t>
      </w:r>
    </w:p>
    <w:p>
      <w:pPr>
        <w:numPr>
          <w:ilvl w:val="0"/>
          <w:numId w:val="4"/>
        </w:numPr>
        <w:tabs>
          <w:tab w:val="left" w:pos="840"/>
        </w:tabs>
        <w:spacing w:line="600" w:lineRule="exact"/>
        <w:ind w:left="840" w:hanging="359"/>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项目名称：</w:t>
      </w:r>
    </w:p>
    <w:p>
      <w:pPr>
        <w:tabs>
          <w:tab w:val="left" w:pos="4900"/>
        </w:tabs>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2</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具体内容及单价：</w:t>
      </w:r>
      <w:r>
        <w:rPr>
          <w:rFonts w:cs="Times New Roman" w:asciiTheme="minorEastAsia" w:hAnsiTheme="minorEastAsia" w:eastAsiaTheme="minorEastAsia"/>
          <w:sz w:val="24"/>
          <w:szCs w:val="24"/>
        </w:rPr>
        <w:tab/>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详见乙方报价表</w:t>
      </w:r>
      <w:r>
        <w:rPr>
          <w:rFonts w:cs="宋体" w:asciiTheme="minorEastAsia" w:hAnsiTheme="minorEastAsia" w:eastAsiaTheme="minorEastAsia"/>
          <w:sz w:val="24"/>
          <w:szCs w:val="24"/>
        </w:rPr>
        <w:t>)</w:t>
      </w:r>
    </w:p>
    <w:p>
      <w:pPr>
        <w:spacing w:line="600" w:lineRule="exact"/>
        <w:rPr>
          <w:rFonts w:cs="Times New Roman" w:asciiTheme="minorEastAsia" w:hAnsiTheme="minorEastAsia" w:eastAsiaTheme="minorEastAsia"/>
          <w:sz w:val="24"/>
          <w:szCs w:val="24"/>
        </w:rPr>
      </w:pPr>
      <w:r>
        <w:rPr>
          <w:rFonts w:asciiTheme="minorEastAsia" w:hAnsiTheme="minorEastAsia" w:eastAsiaTheme="minorEastAsia"/>
          <w:sz w:val="24"/>
          <w:szCs w:val="24"/>
        </w:rPr>
        <w:drawing>
          <wp:anchor distT="0" distB="0" distL="114300" distR="114300" simplePos="0" relativeHeight="251661312" behindDoc="1" locked="0" layoutInCell="0" allowOverlap="1">
            <wp:simplePos x="0" y="0"/>
            <wp:positionH relativeFrom="column">
              <wp:posOffset>1752600</wp:posOffset>
            </wp:positionH>
            <wp:positionV relativeFrom="paragraph">
              <wp:posOffset>-6985</wp:posOffset>
            </wp:positionV>
            <wp:extent cx="1371600" cy="7620"/>
            <wp:effectExtent l="0" t="2540" r="0" b="0"/>
            <wp:wrapNone/>
            <wp:docPr id="5"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4"/>
                    <pic:cNvPicPr>
                      <a:picLocks noChangeAspect="1" noChangeArrowheads="1"/>
                    </pic:cNvPicPr>
                  </pic:nvPicPr>
                  <pic:blipFill>
                    <a:blip r:embed="rId7"/>
                    <a:srcRect/>
                    <a:stretch>
                      <a:fillRect/>
                    </a:stretch>
                  </pic:blipFill>
                  <pic:spPr>
                    <a:xfrm>
                      <a:off x="0" y="0"/>
                      <a:ext cx="1371600" cy="7620"/>
                    </a:xfrm>
                    <a:prstGeom prst="rect">
                      <a:avLst/>
                    </a:prstGeom>
                    <a:noFill/>
                  </pic:spPr>
                </pic:pic>
              </a:graphicData>
            </a:graphic>
          </wp:anchor>
        </w:drawing>
      </w: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二、付款方式及期限</w:t>
      </w:r>
    </w:p>
    <w:p>
      <w:pPr>
        <w:adjustRightInd w:val="0"/>
        <w:snapToGrid w:val="0"/>
        <w:spacing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）每月结算一次，如第三章采购项目技术及商务要求没有的项目则由配送服务企业和</w:t>
      </w:r>
      <w:r>
        <w:rPr>
          <w:rFonts w:hint="eastAsia" w:ascii="宋体" w:hAnsi="宋体" w:cs="宋体"/>
          <w:sz w:val="24"/>
          <w:szCs w:val="24"/>
          <w:u w:val="none"/>
        </w:rPr>
        <w:t>重庆</w:t>
      </w:r>
      <w:r>
        <w:rPr>
          <w:rFonts w:hint="eastAsia" w:ascii="宋体" w:hAnsi="宋体" w:cs="宋体"/>
          <w:sz w:val="24"/>
          <w:szCs w:val="24"/>
          <w:u w:val="none"/>
          <w:lang w:eastAsia="zh-CN"/>
        </w:rPr>
        <w:t>莘莘餐饮管理有限公司</w:t>
      </w:r>
      <w:r>
        <w:rPr>
          <w:rFonts w:hint="eastAsia" w:cs="宋体" w:asciiTheme="minorEastAsia" w:hAnsiTheme="minorEastAsia" w:eastAsiaTheme="minorEastAsia"/>
          <w:color w:val="auto"/>
          <w:sz w:val="24"/>
          <w:szCs w:val="24"/>
        </w:rPr>
        <w:t>商定后进行结算，</w:t>
      </w:r>
      <w:r>
        <w:rPr>
          <w:rFonts w:hint="eastAsia" w:cs="宋体" w:asciiTheme="minorEastAsia" w:hAnsiTheme="minorEastAsia" w:eastAsiaTheme="minorEastAsia"/>
          <w:sz w:val="24"/>
          <w:szCs w:val="24"/>
        </w:rPr>
        <w:t>由招标人转入配送服务企业账户，不得使用现金结算，为完善相关财务手续，当月货款次月月底支付。</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）乙方（中标配送服务企业）须向甲方（招标人）出具合法有效完整的完税发票及凭证资料经双方核算后进行支付结算。</w:t>
      </w: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三、交货时间、交货地点及交付方式</w:t>
      </w:r>
    </w:p>
    <w:p>
      <w:pPr>
        <w:numPr>
          <w:ilvl w:val="0"/>
          <w:numId w:val="5"/>
        </w:numPr>
        <w:tabs>
          <w:tab w:val="left" w:pos="840"/>
        </w:tabs>
        <w:spacing w:line="600" w:lineRule="exact"/>
        <w:ind w:left="840" w:hanging="359"/>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交货时间：</w:t>
      </w:r>
    </w:p>
    <w:p>
      <w:pPr>
        <w:numPr>
          <w:ilvl w:val="0"/>
          <w:numId w:val="5"/>
        </w:numPr>
        <w:tabs>
          <w:tab w:val="left" w:pos="840"/>
        </w:tabs>
        <w:spacing w:line="600" w:lineRule="exact"/>
        <w:ind w:left="840" w:hanging="359"/>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交货地点：招标人指定地点</w:t>
      </w:r>
    </w:p>
    <w:p>
      <w:pPr>
        <w:tabs>
          <w:tab w:val="left" w:pos="4005"/>
          <w:tab w:val="left" w:pos="4120"/>
          <w:tab w:val="left" w:pos="5440"/>
          <w:tab w:val="left" w:pos="5565"/>
        </w:tabs>
        <w:spacing w:line="600" w:lineRule="exact"/>
        <w:ind w:left="480"/>
        <w:rPr>
          <w:rFonts w:cs="Times New Roman" w:asciiTheme="minorEastAsia" w:hAnsiTheme="minorEastAsia" w:eastAsiaTheme="minorEastAsia"/>
          <w:sz w:val="24"/>
          <w:szCs w:val="24"/>
          <w:u w:val="single"/>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供货期限</w:t>
      </w:r>
      <w:r>
        <w:rPr>
          <w:rFonts w:hint="eastAsia" w:cs="宋体" w:asciiTheme="minorEastAsia" w:hAnsiTheme="minorEastAsia" w:eastAsiaTheme="minorEastAsia"/>
          <w:color w:val="auto"/>
          <w:sz w:val="24"/>
          <w:szCs w:val="24"/>
        </w:rPr>
        <w:t>：</w:t>
      </w:r>
      <w:r>
        <w:rPr>
          <w:rFonts w:hint="eastAsia" w:cs="宋体" w:asciiTheme="minorEastAsia" w:hAnsiTheme="minorEastAsia" w:eastAsiaTheme="minorEastAsia"/>
          <w:color w:val="auto"/>
          <w:sz w:val="24"/>
          <w:szCs w:val="24"/>
          <w:lang w:eastAsia="zh-CN"/>
        </w:rPr>
        <w:t>壹年</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u w:val="single"/>
          <w:lang w:val="en-US" w:eastAsia="zh-CN"/>
        </w:rPr>
        <w:t xml:space="preserve">    </w:t>
      </w:r>
      <w:r>
        <w:rPr>
          <w:rFonts w:hint="eastAsia" w:cs="宋体" w:asciiTheme="minorEastAsia" w:hAnsiTheme="minorEastAsia" w:eastAsiaTheme="minorEastAsia"/>
          <w:sz w:val="24"/>
          <w:szCs w:val="24"/>
          <w:lang w:eastAsia="zh-CN"/>
        </w:rPr>
        <w:t>年</w:t>
      </w:r>
      <w:r>
        <w:rPr>
          <w:rFonts w:hint="eastAsia" w:cs="宋体" w:asciiTheme="minorEastAsia" w:hAnsiTheme="minorEastAsia" w:eastAsiaTheme="minorEastAsia"/>
          <w:sz w:val="24"/>
          <w:szCs w:val="24"/>
          <w:u w:val="single"/>
          <w:lang w:val="en-US" w:eastAsia="zh-CN"/>
        </w:rPr>
        <w:t xml:space="preserve">   </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u w:val="single"/>
          <w:lang w:val="en-US" w:eastAsia="zh-CN"/>
        </w:rPr>
        <w:t xml:space="preserve">   </w:t>
      </w:r>
      <w:r>
        <w:rPr>
          <w:rFonts w:hint="eastAsia" w:cs="宋体" w:asciiTheme="minorEastAsia" w:hAnsiTheme="minorEastAsia" w:eastAsiaTheme="minorEastAsia"/>
          <w:sz w:val="24"/>
          <w:szCs w:val="24"/>
        </w:rPr>
        <w:t>日至</w:t>
      </w:r>
      <w:r>
        <w:rPr>
          <w:rFonts w:hint="eastAsia" w:cs="宋体" w:asciiTheme="minorEastAsia" w:hAnsiTheme="minorEastAsia" w:eastAsiaTheme="minorEastAsia"/>
          <w:sz w:val="24"/>
          <w:szCs w:val="24"/>
          <w:u w:val="single"/>
          <w:lang w:val="en-US" w:eastAsia="zh-CN"/>
        </w:rPr>
        <w:t xml:space="preserve">   </w:t>
      </w:r>
      <w:r>
        <w:rPr>
          <w:rFonts w:hint="eastAsia" w:cs="宋体" w:asciiTheme="minorEastAsia" w:hAnsiTheme="minorEastAsia" w:eastAsiaTheme="minorEastAsia"/>
          <w:sz w:val="24"/>
          <w:szCs w:val="24"/>
        </w:rPr>
        <w:t>年</w:t>
      </w:r>
      <w:r>
        <w:rPr>
          <w:rFonts w:cs="Times New Roman" w:asciiTheme="minorEastAsia" w:hAnsiTheme="minorEastAsia" w:eastAsiaTheme="minorEastAsia"/>
          <w:sz w:val="24"/>
          <w:szCs w:val="24"/>
          <w:u w:val="single"/>
        </w:rPr>
        <w:tab/>
      </w:r>
      <w:r>
        <w:rPr>
          <w:rFonts w:hint="eastAsia" w:cs="Times New Roman" w:asciiTheme="minorEastAsia" w:hAnsiTheme="minorEastAsia" w:eastAsiaTheme="minorEastAsia"/>
          <w:sz w:val="24"/>
          <w:szCs w:val="24"/>
          <w:u w:val="single"/>
          <w:lang w:val="en-US" w:eastAsia="zh-CN"/>
        </w:rPr>
        <w:t xml:space="preserve">  </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u w:val="single"/>
          <w:lang w:val="en-US" w:eastAsia="zh-CN"/>
        </w:rPr>
        <w:t xml:space="preserve"> </w:t>
      </w:r>
      <w:r>
        <w:rPr>
          <w:rFonts w:cs="Times New Roman" w:asciiTheme="minorEastAsia" w:hAnsiTheme="minorEastAsia" w:eastAsiaTheme="minorEastAsia"/>
          <w:sz w:val="24"/>
          <w:szCs w:val="24"/>
          <w:u w:val="single"/>
        </w:rPr>
        <w:tab/>
      </w:r>
      <w:r>
        <w:rPr>
          <w:rFonts w:hint="eastAsia" w:cs="宋体" w:asciiTheme="minorEastAsia" w:hAnsiTheme="minorEastAsia" w:eastAsiaTheme="minorEastAsia"/>
          <w:sz w:val="24"/>
          <w:szCs w:val="24"/>
        </w:rPr>
        <w:t>日</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交付方式：免费送货上门</w:t>
      </w:r>
    </w:p>
    <w:p>
      <w:pPr>
        <w:spacing w:line="600" w:lineRule="exact"/>
        <w:ind w:right="-19"/>
        <w:jc w:val="center"/>
        <w:rPr>
          <w:rFonts w:cs="Times New Roman" w:asciiTheme="minorEastAsia" w:hAnsiTheme="minorEastAsia" w:eastAsiaTheme="minorEastAsia"/>
          <w:sz w:val="24"/>
          <w:szCs w:val="24"/>
        </w:rPr>
      </w:pPr>
    </w:p>
    <w:p>
      <w:pPr>
        <w:spacing w:line="600" w:lineRule="exact"/>
        <w:ind w:left="480"/>
        <w:rPr>
          <w:rFonts w:cs="Times New Roman" w:asciiTheme="minorEastAsia" w:hAnsiTheme="minorEastAsia" w:eastAsiaTheme="minorEastAsia"/>
          <w:b/>
          <w:bCs/>
          <w:sz w:val="24"/>
          <w:szCs w:val="24"/>
        </w:rPr>
      </w:pPr>
      <w:bookmarkStart w:id="22" w:name="page32"/>
      <w:bookmarkEnd w:id="22"/>
      <w:r>
        <w:rPr>
          <w:rFonts w:hint="eastAsia" w:cs="宋体" w:asciiTheme="minorEastAsia" w:hAnsiTheme="minorEastAsia" w:eastAsiaTheme="minorEastAsia"/>
          <w:b/>
          <w:bCs/>
          <w:sz w:val="24"/>
          <w:szCs w:val="24"/>
        </w:rPr>
        <w:t>四、供货质量要求</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必须完全符合国家法律法规和食品、卫生、安全、防疫等各相关部门规定的质量合</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格标准以及甲方在招标文件中的要求及乙方在响应文件中的承诺。双方均不得降低质量、</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卫生、安全标准。</w:t>
      </w:r>
    </w:p>
    <w:p>
      <w:pPr>
        <w:spacing w:line="600" w:lineRule="exact"/>
        <w:ind w:left="48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乙方将货物送至甲方指定地点后，按甲方要求进行称量。</w:t>
      </w:r>
    </w:p>
    <w:p>
      <w:pPr>
        <w:snapToGrid w:val="0"/>
        <w:spacing w:line="60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五、验收与考核的标准及要求</w:t>
      </w:r>
    </w:p>
    <w:p>
      <w:pPr>
        <w:spacing w:line="60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 xml:space="preserve">1. </w:t>
      </w:r>
      <w:r>
        <w:rPr>
          <w:rFonts w:hint="eastAsia" w:cs="宋体" w:asciiTheme="minorEastAsia" w:hAnsiTheme="minorEastAsia" w:eastAsiaTheme="minorEastAsia"/>
          <w:sz w:val="24"/>
          <w:szCs w:val="24"/>
        </w:rPr>
        <w:t>本项目招标人将严格按照《</w:t>
      </w:r>
      <w:r>
        <w:rPr>
          <w:rFonts w:hint="eastAsia" w:cs="宋体" w:asciiTheme="minorEastAsia" w:hAnsiTheme="minorEastAsia" w:eastAsiaTheme="minorEastAsia"/>
          <w:sz w:val="24"/>
          <w:szCs w:val="24"/>
          <w:lang w:eastAsia="zh-CN"/>
        </w:rPr>
        <w:t>重庆商务职业学院</w:t>
      </w:r>
      <w:r>
        <w:rPr>
          <w:rFonts w:hint="eastAsia" w:cs="宋体" w:asciiTheme="minorEastAsia" w:hAnsiTheme="minorEastAsia" w:eastAsiaTheme="minorEastAsia"/>
          <w:sz w:val="24"/>
          <w:szCs w:val="24"/>
        </w:rPr>
        <w:t>原材料配送服务验收标准》要求进行验收。</w:t>
      </w:r>
    </w:p>
    <w:p>
      <w:pPr>
        <w:snapToGrid w:val="0"/>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 本项目招标人将严格按照《</w:t>
      </w:r>
      <w:r>
        <w:rPr>
          <w:rFonts w:hint="eastAsia" w:cs="宋体" w:asciiTheme="minorEastAsia" w:hAnsiTheme="minorEastAsia" w:eastAsiaTheme="minorEastAsia"/>
          <w:sz w:val="24"/>
          <w:szCs w:val="24"/>
          <w:lang w:eastAsia="zh-CN"/>
        </w:rPr>
        <w:t>重庆商务职业学院</w:t>
      </w:r>
      <w:r>
        <w:rPr>
          <w:rFonts w:hint="eastAsia" w:cs="宋体" w:asciiTheme="minorEastAsia" w:hAnsiTheme="minorEastAsia" w:eastAsiaTheme="minorEastAsia"/>
          <w:sz w:val="24"/>
          <w:szCs w:val="24"/>
        </w:rPr>
        <w:t>原材料配送服务企业管理考核办法》要求进行考核。</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 在履行合同期间，验收或考核结果不合格的，履约保证金将不予退还，也将不予支付采购资金，并解除合同，并赔偿招标人的损失。还可能会报告本项目同级财政部门按照政府采购法律法规等有关规定给予行政处罚或者以失信行为记入诚信档案。</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验收或考核结果合格的，履行合同期满后，中标人凭验收报告办理履约保证金无息的退付手续。</w:t>
      </w:r>
    </w:p>
    <w:p>
      <w:pPr>
        <w:spacing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cs="宋体"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饮食服务中心对每次配送的食材，严格把关，查看批次食品的检验、检疫报告、合格证、出厂日期以及食品色泽、味道等，若异常拒绝接受。</w:t>
      </w: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六、售后服务</w:t>
      </w:r>
    </w:p>
    <w:p>
      <w:pPr>
        <w:spacing w:line="600" w:lineRule="exact"/>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乙方应严格遵守售后服务承诺，产品在使用中出现任何问题，甲方与乙方联系，乙方在接到电话后（时间）内到达现场提供更换服务。有关内容如下：</w:t>
      </w: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1</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乙方在响应文件中的其它服务承诺：</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）……（逐条填入）。</w:t>
      </w:r>
    </w:p>
    <w:p>
      <w:pPr>
        <w:spacing w:line="600" w:lineRule="exact"/>
        <w:rPr>
          <w:rFonts w:cs="Times New Roman" w:asciiTheme="minorEastAsia" w:hAnsiTheme="minorEastAsia" w:eastAsiaTheme="minorEastAsia"/>
          <w:sz w:val="24"/>
          <w:szCs w:val="24"/>
        </w:rPr>
      </w:pP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七、相关权利及义务</w:t>
      </w:r>
    </w:p>
    <w:p>
      <w:pPr>
        <w:spacing w:line="600" w:lineRule="exact"/>
        <w:ind w:left="4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甲方职责：</w:t>
      </w:r>
    </w:p>
    <w:p>
      <w:pPr>
        <w:spacing w:line="600" w:lineRule="exact"/>
        <w:ind w:left="46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安排指定人员向乙方提供所需产品的品种、数量及规格。</w:t>
      </w:r>
    </w:p>
    <w:p>
      <w:pPr>
        <w:spacing w:line="600" w:lineRule="exact"/>
        <w:ind w:right="100" w:firstLine="456"/>
        <w:jc w:val="both"/>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按招标文件中提供各类产品的质量要求，作为乙方组织货源、送货、交货的质量最低标准和甲方验收货物的标准。</w:t>
      </w:r>
    </w:p>
    <w:p>
      <w:pPr>
        <w:spacing w:line="600" w:lineRule="exact"/>
        <w:ind w:left="46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收货：</w:t>
      </w:r>
    </w:p>
    <w:p>
      <w:pPr>
        <w:spacing w:line="600" w:lineRule="exact"/>
        <w:ind w:right="20" w:firstLine="324"/>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）严格按照质量标准收货，对不符合质量标准和收货规则的货物，要当场退货给乙方，乙方要及时按照质量标准补齐。</w:t>
      </w:r>
    </w:p>
    <w:p>
      <w:pPr>
        <w:spacing w:line="600" w:lineRule="exact"/>
        <w:ind w:left="32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）按照订单约定的交货时间及时收货，不得刁难乙方。</w:t>
      </w:r>
    </w:p>
    <w:p>
      <w:pPr>
        <w:spacing w:line="600" w:lineRule="exact"/>
        <w:ind w:left="32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）准确公平称量所收货物，与乙方当场签署收货手续作为结账依据。</w:t>
      </w:r>
    </w:p>
    <w:p>
      <w:pPr>
        <w:spacing w:line="600" w:lineRule="exact"/>
        <w:ind w:left="32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）验收存档乙方按国家有关部门要求随货物提交的证件和资料。</w:t>
      </w:r>
    </w:p>
    <w:p>
      <w:pPr>
        <w:spacing w:line="600" w:lineRule="exact"/>
        <w:ind w:right="100" w:firstLine="456"/>
        <w:jc w:val="both"/>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与乙方一起参照的价格，按照招标文件的规定及乙方报价确定每周供货价格。及时与乙方核对货账。每次扎帐后与乙方核对当月账目，按每月一次性付清货款，不得无故拖延。</w:t>
      </w:r>
    </w:p>
    <w:p>
      <w:pPr>
        <w:spacing w:line="600" w:lineRule="exact"/>
        <w:ind w:left="46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管理好乙方提供的设备设施。</w:t>
      </w:r>
    </w:p>
    <w:p>
      <w:pPr>
        <w:spacing w:line="600" w:lineRule="exact"/>
        <w:ind w:left="46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及时收存、妥善处置已收货物。</w:t>
      </w:r>
    </w:p>
    <w:p>
      <w:pPr>
        <w:spacing w:line="600" w:lineRule="exact"/>
        <w:ind w:left="460"/>
        <w:rPr>
          <w:rFonts w:cs="Times New Roman" w:asciiTheme="minorEastAsia" w:hAnsiTheme="minorEastAsia" w:eastAsiaTheme="minorEastAsia"/>
          <w:sz w:val="24"/>
          <w:szCs w:val="24"/>
        </w:rPr>
      </w:pPr>
      <w:bookmarkStart w:id="23" w:name="page33"/>
      <w:bookmarkEnd w:id="23"/>
      <w:r>
        <w:rPr>
          <w:rFonts w:hint="eastAsia" w:cs="宋体" w:asciiTheme="minorEastAsia" w:hAnsiTheme="minorEastAsia" w:eastAsiaTheme="minorEastAsia"/>
          <w:sz w:val="24"/>
          <w:szCs w:val="24"/>
        </w:rPr>
        <w:t>乙方职责：</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按照甲方的订货单及时组织、运输所供货物，按时、按质、按订单数量送交甲方订购的各种货物。</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对所提供的货物本身的质量、对供货过程的相关安全负全责，运输货物的车辆一定要慢行，并经常检修车况，确保安全。</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自觉遵守相关法规，自觉接受有关部门的监督与管理，自觉接受甲方的检验和管理，自觉向甲方提供所供货物的相关证明材料，自觉向有关部门缴纳相关税费。</w:t>
      </w:r>
    </w:p>
    <w:p>
      <w:pPr>
        <w:spacing w:line="600" w:lineRule="exact"/>
        <w:ind w:firstLine="480" w:firstLineChars="20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主动与甲方现场收货人员签署收货手续，主动与甲方核对账目，主动配合甲方验收货物人员的工作，主动给甲方提供真实市场信息和合理化建议。</w:t>
      </w:r>
    </w:p>
    <w:p>
      <w:pPr>
        <w:spacing w:line="600" w:lineRule="exact"/>
        <w:rPr>
          <w:rFonts w:cs="Times New Roman" w:asciiTheme="minorEastAsia" w:hAnsiTheme="minorEastAsia" w:eastAsiaTheme="minorEastAsia"/>
          <w:sz w:val="24"/>
          <w:szCs w:val="24"/>
        </w:rPr>
      </w:pP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八、违约责任</w:t>
      </w:r>
    </w:p>
    <w:p>
      <w:pPr>
        <w:spacing w:line="600" w:lineRule="exact"/>
        <w:ind w:right="20" w:firstLine="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甲方有下列违约行为发生时，乙方可以单方面提出终止本合同并向甲方索回未结算货款及有此产生的资金利息：</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）无故逾期三个月不支付乙方货款；</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）无故刁难乙方，致使乙方无法继续供货。</w:t>
      </w:r>
    </w:p>
    <w:p>
      <w:pPr>
        <w:spacing w:line="600" w:lineRule="exact"/>
        <w:ind w:right="20" w:firstLine="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乙方有下列违约行为发生时，甲方可以单方终止本合同并处罚金，造成损失的另行赔偿损失，违法法律的行为要追究乙方及生产厂家的法律责任。</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）不按合同供货，拒绝甲方验货。</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）不按照相关要求提供国家有关部门规定的证件资料。</w:t>
      </w:r>
    </w:p>
    <w:p>
      <w:pPr>
        <w:spacing w:line="600" w:lineRule="exact"/>
        <w:ind w:right="20" w:firstLine="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）供货质量查出有不合格现象，如以次充好、生霉、变色、变味、变质、腐烂等现象。</w:t>
      </w:r>
    </w:p>
    <w:p>
      <w:pPr>
        <w:spacing w:line="600" w:lineRule="exact"/>
        <w:ind w:right="20" w:firstLine="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）送货质量不合格又拒绝退货或退回质量不合格货物后未及时给甲方补送订单所订购合格货物，影响甲方正常生活秩序。</w:t>
      </w:r>
    </w:p>
    <w:p>
      <w:pPr>
        <w:spacing w:line="600" w:lineRule="exact"/>
        <w:ind w:right="20" w:firstLine="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5</w:t>
      </w:r>
      <w:r>
        <w:rPr>
          <w:rFonts w:hint="eastAsia" w:cs="宋体" w:asciiTheme="minorEastAsia" w:hAnsiTheme="minorEastAsia" w:eastAsiaTheme="minorEastAsia"/>
          <w:sz w:val="24"/>
          <w:szCs w:val="24"/>
        </w:rPr>
        <w:t>）乙方在供货期间出现短斤少两，货物质量不达标、缺货、不按时供货等情况，甲方有权终止合同。</w:t>
      </w:r>
    </w:p>
    <w:p>
      <w:pPr>
        <w:spacing w:line="600" w:lineRule="exact"/>
        <w:ind w:right="20" w:firstLine="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甲乙双方违反招标文件和响应文件中的任何承诺或要求的，均构成违约，按照招标文件和响应文件的相应约定承担违约责任。</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本合同生效期间，甲、乙方中乙方或双方触犯法律的，各自承担法律责任。</w:t>
      </w:r>
    </w:p>
    <w:p>
      <w:pPr>
        <w:spacing w:line="600" w:lineRule="exact"/>
        <w:rPr>
          <w:rFonts w:cs="Times New Roman" w:asciiTheme="minorEastAsia" w:hAnsiTheme="minorEastAsia" w:eastAsiaTheme="minorEastAsia"/>
          <w:sz w:val="24"/>
          <w:szCs w:val="24"/>
        </w:rPr>
      </w:pP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九、不可抗力</w:t>
      </w:r>
    </w:p>
    <w:p>
      <w:pPr>
        <w:spacing w:line="600" w:lineRule="exact"/>
        <w:rPr>
          <w:rFonts w:cs="Times New Roman" w:asciiTheme="minorEastAsia" w:hAnsiTheme="minorEastAsia" w:eastAsiaTheme="minorEastAsia"/>
          <w:sz w:val="24"/>
          <w:szCs w:val="24"/>
        </w:rPr>
      </w:pP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甲方由于不可抗力的原因不能履行合同时，应及时向乙方和见证方通报不能履行或不</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能完全履行的理由；乙方由于不可抗力的原因不能履行合同时，应在交货时间到期以前及</w:t>
      </w:r>
    </w:p>
    <w:p>
      <w:pPr>
        <w:spacing w:line="600" w:lineRule="exact"/>
        <w:rPr>
          <w:rFonts w:cs="Times New Roman" w:asciiTheme="minorEastAsia" w:hAnsiTheme="minorEastAsia" w:eastAsiaTheme="minorEastAsia"/>
          <w:sz w:val="24"/>
          <w:szCs w:val="24"/>
        </w:rPr>
      </w:pPr>
      <w:bookmarkStart w:id="24" w:name="page34"/>
      <w:bookmarkEnd w:id="24"/>
      <w:r>
        <w:rPr>
          <w:rFonts w:hint="eastAsia" w:cs="宋体" w:asciiTheme="minorEastAsia" w:hAnsiTheme="minorEastAsia" w:eastAsiaTheme="minorEastAsia"/>
          <w:sz w:val="24"/>
          <w:szCs w:val="24"/>
        </w:rPr>
        <w:t>时向甲方和见证方不能履行或不能完全履行的理由；在取得有关主管机关证明以后，可以</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签订延期履行、部分履行补充合同或者不履行合同，并根据情况可部分或全部免予承担违</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约责任。</w:t>
      </w:r>
    </w:p>
    <w:p>
      <w:pPr>
        <w:spacing w:line="600" w:lineRule="exact"/>
        <w:rPr>
          <w:rFonts w:cs="Times New Roman" w:asciiTheme="minorEastAsia" w:hAnsiTheme="minorEastAsia" w:eastAsiaTheme="minorEastAsia"/>
          <w:sz w:val="24"/>
          <w:szCs w:val="24"/>
        </w:rPr>
      </w:pP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十、争议</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因货物的质量问题发生争议，由具有法定资格条件的质量技术监督机构进行质量鉴</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定。货物符合标准的，鉴定费由甲方承担；货物不符合质量标准的，鉴定费由乙方承担。</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合同履行期间</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若双方发生争议，双方本着友好合作的态度，对合同履行过程中发</w:t>
      </w:r>
    </w:p>
    <w:p>
      <w:pPr>
        <w:spacing w:line="600" w:lineRule="exact"/>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生的违约行为进行及时的协商解决或由有关部门调解解决，如不能协商解决可向甲方所在地法院通过法律诉讼解决。</w:t>
      </w:r>
    </w:p>
    <w:p>
      <w:pPr>
        <w:spacing w:line="600" w:lineRule="exact"/>
        <w:rPr>
          <w:rFonts w:cs="Times New Roman" w:asciiTheme="minorEastAsia" w:hAnsiTheme="minorEastAsia" w:eastAsiaTheme="minorEastAsia"/>
          <w:sz w:val="24"/>
          <w:szCs w:val="24"/>
        </w:rPr>
      </w:pPr>
    </w:p>
    <w:p>
      <w:pPr>
        <w:spacing w:line="600" w:lineRule="exact"/>
        <w:ind w:left="480"/>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十一、其它事项</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甲、乙双方约定其他事项：</w:t>
      </w:r>
    </w:p>
    <w:p>
      <w:pPr>
        <w:spacing w:line="600" w:lineRule="exact"/>
        <w:ind w:right="120" w:firstLine="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）在供货期间，中标配送服务企业有违反招标文件、投标文件及各种规定的情况，甲方有权终止合同，并选用排名第二的配送服务企业供货。</w:t>
      </w:r>
    </w:p>
    <w:p>
      <w:pPr>
        <w:spacing w:line="600" w:lineRule="exact"/>
        <w:ind w:right="120" w:firstLine="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）若由于政策性原因导致甲方无法继续履约，需提前告知乙方终止合同，并全额退还保证金，双方均不承担响应责任。</w:t>
      </w:r>
    </w:p>
    <w:p>
      <w:pPr>
        <w:spacing w:line="600" w:lineRule="exact"/>
        <w:ind w:left="36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本合同一式六份，甲方、乙方各三份。</w:t>
      </w:r>
    </w:p>
    <w:p>
      <w:pPr>
        <w:spacing w:line="600" w:lineRule="exact"/>
        <w:ind w:left="480"/>
        <w:rPr>
          <w:rFonts w:cs="Times New Roman"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本合同自签订之日起生效。</w:t>
      </w:r>
    </w:p>
    <w:p>
      <w:pPr>
        <w:spacing w:line="600" w:lineRule="exact"/>
        <w:ind w:right="120" w:firstLine="480"/>
        <w:rPr>
          <w:rFonts w:cs="宋体" w:asciiTheme="minorEastAsia" w:hAnsiTheme="minorEastAsia" w:eastAsiaTheme="minorEastAsia"/>
          <w:sz w:val="24"/>
          <w:szCs w:val="24"/>
        </w:rPr>
      </w:pPr>
      <w:r>
        <w:rPr>
          <w:rFonts w:cs="宋体" w:asciiTheme="minorEastAsia" w:hAnsiTheme="minorEastAsia" w:eastAsiaTheme="minorEastAsia"/>
          <w:sz w:val="24"/>
          <w:szCs w:val="24"/>
        </w:rPr>
        <w:t>4.</w:t>
      </w:r>
      <w:r>
        <w:rPr>
          <w:rFonts w:hint="eastAsia" w:cs="宋体" w:asciiTheme="minorEastAsia" w:hAnsiTheme="minorEastAsia" w:eastAsiaTheme="minorEastAsia"/>
          <w:sz w:val="24"/>
          <w:szCs w:val="24"/>
        </w:rPr>
        <w:t>本项目的招标文件、投标文件、中标通知书等与本合同具有同等的法律效力。</w:t>
      </w:r>
    </w:p>
    <w:p>
      <w:pPr>
        <w:spacing w:line="600" w:lineRule="exact"/>
        <w:ind w:right="120"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hint="eastAsia" w:asciiTheme="minorEastAsia" w:hAnsiTheme="minorEastAsia" w:eastAsiaTheme="minorEastAsia"/>
          <w:sz w:val="24"/>
          <w:szCs w:val="24"/>
        </w:rPr>
        <w:t>《</w:t>
      </w:r>
      <w:r>
        <w:rPr>
          <w:rFonts w:hint="eastAsia" w:cs="宋体" w:asciiTheme="minorEastAsia" w:hAnsiTheme="minorEastAsia" w:eastAsiaTheme="minorEastAsia"/>
          <w:sz w:val="24"/>
          <w:szCs w:val="24"/>
          <w:lang w:eastAsia="zh-CN"/>
        </w:rPr>
        <w:t>重庆商务职业学院</w:t>
      </w:r>
      <w:r>
        <w:rPr>
          <w:rFonts w:hint="eastAsia" w:asciiTheme="minorEastAsia" w:hAnsiTheme="minorEastAsia" w:eastAsiaTheme="minorEastAsia"/>
          <w:sz w:val="24"/>
          <w:szCs w:val="24"/>
        </w:rPr>
        <w:t>原材料配送服务验收标准》</w:t>
      </w:r>
      <w:r>
        <w:rPr>
          <w:rFonts w:hint="eastAsia" w:cs="宋体" w:asciiTheme="minorEastAsia" w:hAnsiTheme="minorEastAsia" w:eastAsiaTheme="minorEastAsia"/>
          <w:sz w:val="24"/>
          <w:szCs w:val="24"/>
        </w:rPr>
        <w:t>是本合同的附件，与本合同具有同等的法律效力。</w:t>
      </w:r>
    </w:p>
    <w:p>
      <w:pPr>
        <w:spacing w:line="600" w:lineRule="exact"/>
        <w:ind w:left="48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6</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其它未尽事宜，由双方友好协商解决，并参照《中华人民共和国合同法》有关条款</w:t>
      </w:r>
    </w:p>
    <w:p>
      <w:pPr>
        <w:spacing w:line="6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执行。</w:t>
      </w:r>
    </w:p>
    <w:p>
      <w:pPr>
        <w:spacing w:line="600" w:lineRule="exact"/>
        <w:rPr>
          <w:rFonts w:cs="宋体" w:asciiTheme="minorEastAsia" w:hAnsiTheme="minorEastAsia" w:eastAsiaTheme="minorEastAsia"/>
          <w:sz w:val="24"/>
          <w:szCs w:val="24"/>
        </w:rPr>
      </w:pPr>
    </w:p>
    <w:p>
      <w:pPr>
        <w:tabs>
          <w:tab w:val="left" w:pos="680"/>
        </w:tabs>
        <w:topLinePunct/>
        <w:autoSpaceDE w:val="0"/>
        <w:adjustRightInd w:val="0"/>
        <w:spacing w:line="560" w:lineRule="exact"/>
        <w:ind w:right="-20"/>
        <w:rPr>
          <w:rFonts w:ascii="宋体" w:hAnsi="宋体"/>
          <w:sz w:val="24"/>
        </w:rPr>
      </w:pPr>
      <w:r>
        <w:rPr>
          <w:rFonts w:hint="eastAsia" w:ascii="宋体" w:hAnsi="宋体"/>
          <w:sz w:val="24"/>
        </w:rPr>
        <w:t>甲方：</w:t>
      </w:r>
      <w:r>
        <w:rPr>
          <w:rFonts w:hint="eastAsia" w:cs="宋体" w:asciiTheme="minorEastAsia" w:hAnsiTheme="minorEastAsia" w:eastAsiaTheme="minorEastAsia"/>
          <w:sz w:val="24"/>
          <w:szCs w:val="24"/>
        </w:rPr>
        <w:t>重庆</w:t>
      </w:r>
      <w:r>
        <w:rPr>
          <w:rFonts w:hint="eastAsia" w:cs="宋体" w:asciiTheme="minorEastAsia" w:hAnsiTheme="minorEastAsia" w:eastAsiaTheme="minorEastAsia"/>
          <w:sz w:val="24"/>
          <w:szCs w:val="24"/>
          <w:lang w:eastAsia="zh-CN"/>
        </w:rPr>
        <w:t>莘莘餐饮管理有限公司</w:t>
      </w:r>
      <w:r>
        <w:rPr>
          <w:rFonts w:hint="eastAsia" w:ascii="宋体" w:hAnsi="宋体"/>
          <w:sz w:val="24"/>
        </w:rPr>
        <w:t>（盖章）</w:t>
      </w:r>
      <w:r>
        <w:rPr>
          <w:rFonts w:hint="eastAsia" w:ascii="宋体" w:hAnsi="宋体"/>
          <w:sz w:val="24"/>
          <w:lang w:val="en-US" w:eastAsia="zh-CN"/>
        </w:rPr>
        <w:t xml:space="preserve">       </w:t>
      </w:r>
      <w:r>
        <w:rPr>
          <w:rFonts w:hint="eastAsia" w:ascii="宋体" w:hAnsi="宋体"/>
          <w:sz w:val="24"/>
        </w:rPr>
        <w:t xml:space="preserve">乙方：（盖章）               </w:t>
      </w:r>
    </w:p>
    <w:p>
      <w:pPr>
        <w:tabs>
          <w:tab w:val="left" w:pos="4830"/>
          <w:tab w:val="left" w:pos="4935"/>
        </w:tabs>
        <w:spacing w:line="560" w:lineRule="exact"/>
        <w:rPr>
          <w:rFonts w:ascii="宋体" w:hAnsi="宋体"/>
          <w:sz w:val="24"/>
        </w:rPr>
      </w:pPr>
      <w:r>
        <w:rPr>
          <w:rFonts w:hint="eastAsia" w:ascii="宋体" w:hAnsi="宋体"/>
          <w:sz w:val="24"/>
        </w:rPr>
        <w:t>地址： 重庆市</w:t>
      </w:r>
      <w:r>
        <w:rPr>
          <w:rFonts w:hint="eastAsia" w:ascii="宋体" w:hAnsi="宋体"/>
          <w:sz w:val="24"/>
          <w:lang w:eastAsia="zh-CN"/>
        </w:rPr>
        <w:t>南岸区学府大道</w:t>
      </w:r>
      <w:r>
        <w:rPr>
          <w:rFonts w:hint="eastAsia" w:ascii="宋体" w:hAnsi="宋体"/>
          <w:sz w:val="24"/>
          <w:lang w:val="en-US" w:eastAsia="zh-CN"/>
        </w:rPr>
        <w:t>21号</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地址：</w:t>
      </w:r>
    </w:p>
    <w:p>
      <w:pPr>
        <w:tabs>
          <w:tab w:val="left" w:pos="680"/>
        </w:tabs>
        <w:topLinePunct/>
        <w:autoSpaceDE w:val="0"/>
        <w:adjustRightInd w:val="0"/>
        <w:spacing w:line="560" w:lineRule="exact"/>
        <w:ind w:right="-20"/>
        <w:rPr>
          <w:rFonts w:ascii="宋体" w:hAnsi="宋体"/>
          <w:sz w:val="24"/>
        </w:rPr>
      </w:pPr>
      <w:r>
        <w:rPr>
          <w:rFonts w:hint="eastAsia" w:ascii="宋体" w:hAnsi="宋体"/>
          <w:sz w:val="24"/>
        </w:rPr>
        <w:t>法定代表人：（签字或盖章）</w:t>
      </w:r>
      <w:r>
        <w:rPr>
          <w:rFonts w:hint="eastAsia" w:ascii="宋体" w:hAnsi="宋体"/>
          <w:sz w:val="24"/>
          <w:lang w:val="en-US" w:eastAsia="zh-CN"/>
        </w:rPr>
        <w:t xml:space="preserve">                   </w:t>
      </w:r>
      <w:r>
        <w:rPr>
          <w:rFonts w:hint="eastAsia" w:ascii="宋体" w:hAnsi="宋体"/>
          <w:sz w:val="24"/>
        </w:rPr>
        <w:t>法定代表人：（签字或盖章）</w:t>
      </w:r>
    </w:p>
    <w:p>
      <w:pPr>
        <w:tabs>
          <w:tab w:val="left" w:pos="680"/>
        </w:tabs>
        <w:topLinePunct/>
        <w:autoSpaceDE w:val="0"/>
        <w:adjustRightInd w:val="0"/>
        <w:spacing w:line="560" w:lineRule="exact"/>
        <w:ind w:right="-20"/>
        <w:rPr>
          <w:rFonts w:ascii="宋体" w:hAnsi="宋体"/>
          <w:sz w:val="24"/>
        </w:rPr>
      </w:pPr>
      <w:r>
        <w:rPr>
          <w:rFonts w:hint="eastAsia" w:ascii="宋体" w:hAnsi="宋体"/>
          <w:sz w:val="24"/>
        </w:rPr>
        <w:t>或委托代理人：（签字或盖章）</w:t>
      </w:r>
      <w:r>
        <w:rPr>
          <w:rFonts w:hint="eastAsia" w:ascii="宋体" w:hAnsi="宋体"/>
          <w:sz w:val="24"/>
          <w:lang w:val="en-US" w:eastAsia="zh-CN"/>
        </w:rPr>
        <w:t xml:space="preserve">                 </w:t>
      </w:r>
      <w:r>
        <w:rPr>
          <w:rFonts w:hint="eastAsia" w:ascii="宋体" w:hAnsi="宋体"/>
          <w:sz w:val="24"/>
        </w:rPr>
        <w:t>或委托代理人：（签字或盖章）</w:t>
      </w:r>
    </w:p>
    <w:p>
      <w:pPr>
        <w:tabs>
          <w:tab w:val="left" w:pos="680"/>
        </w:tabs>
        <w:topLinePunct/>
        <w:autoSpaceDE w:val="0"/>
        <w:adjustRightInd w:val="0"/>
        <w:spacing w:line="560" w:lineRule="exact"/>
        <w:ind w:right="-20"/>
        <w:rPr>
          <w:rFonts w:ascii="宋体" w:hAnsi="宋体"/>
          <w:sz w:val="24"/>
        </w:rPr>
      </w:pPr>
      <w:r>
        <w:rPr>
          <w:rFonts w:hint="eastAsia" w:ascii="宋体" w:hAnsi="宋体"/>
          <w:sz w:val="24"/>
        </w:rPr>
        <w:t xml:space="preserve">联系电话：联系电话：                 </w:t>
      </w:r>
    </w:p>
    <w:p>
      <w:pPr>
        <w:tabs>
          <w:tab w:val="left" w:pos="680"/>
        </w:tabs>
        <w:topLinePunct/>
        <w:autoSpaceDE w:val="0"/>
        <w:adjustRightInd w:val="0"/>
        <w:spacing w:line="560" w:lineRule="exact"/>
        <w:ind w:right="-20"/>
        <w:rPr>
          <w:rFonts w:ascii="宋体" w:hAnsi="宋体"/>
          <w:sz w:val="24"/>
        </w:rPr>
      </w:pPr>
      <w:r>
        <w:rPr>
          <w:rFonts w:hint="eastAsia" w:ascii="宋体" w:hAnsi="宋体"/>
          <w:sz w:val="24"/>
        </w:rPr>
        <w:t xml:space="preserve">传真：   传真：                         </w:t>
      </w:r>
    </w:p>
    <w:p>
      <w:pPr>
        <w:tabs>
          <w:tab w:val="left" w:pos="680"/>
        </w:tabs>
        <w:topLinePunct/>
        <w:autoSpaceDE w:val="0"/>
        <w:adjustRightInd w:val="0"/>
        <w:spacing w:line="560" w:lineRule="exact"/>
        <w:ind w:right="-20"/>
        <w:rPr>
          <w:rFonts w:ascii="宋体" w:hAnsi="宋体"/>
          <w:sz w:val="24"/>
        </w:rPr>
      </w:pPr>
      <w:r>
        <w:rPr>
          <w:rFonts w:hint="eastAsia" w:ascii="宋体" w:hAnsi="宋体"/>
          <w:sz w:val="24"/>
        </w:rPr>
        <w:t xml:space="preserve">开户银行：开户银行：                   </w:t>
      </w:r>
    </w:p>
    <w:p>
      <w:pPr>
        <w:tabs>
          <w:tab w:val="left" w:pos="4830"/>
          <w:tab w:val="left" w:pos="4935"/>
        </w:tabs>
        <w:spacing w:line="560" w:lineRule="exact"/>
        <w:rPr>
          <w:rFonts w:ascii="宋体" w:hAnsi="宋体"/>
          <w:sz w:val="24"/>
        </w:rPr>
      </w:pPr>
      <w:r>
        <w:rPr>
          <w:rFonts w:hint="eastAsia" w:ascii="宋体" w:hAnsi="宋体"/>
          <w:sz w:val="24"/>
        </w:rPr>
        <w:t xml:space="preserve">帐号：   帐号：                     </w:t>
      </w:r>
    </w:p>
    <w:p>
      <w:pPr>
        <w:tabs>
          <w:tab w:val="left" w:pos="680"/>
        </w:tabs>
        <w:topLinePunct/>
        <w:autoSpaceDE w:val="0"/>
        <w:adjustRightInd w:val="0"/>
        <w:spacing w:line="560" w:lineRule="exact"/>
        <w:ind w:right="-20"/>
        <w:rPr>
          <w:rFonts w:ascii="宋体" w:hAnsi="宋体"/>
          <w:sz w:val="24"/>
        </w:rPr>
      </w:pPr>
      <w:r>
        <w:rPr>
          <w:rFonts w:hint="eastAsia" w:ascii="宋体" w:hAnsi="宋体"/>
          <w:sz w:val="24"/>
        </w:rPr>
        <w:t>邮政编码：</w:t>
      </w:r>
      <w:r>
        <w:rPr>
          <w:rFonts w:hint="eastAsia" w:ascii="宋体" w:hAnsi="宋体"/>
          <w:sz w:val="24"/>
          <w:lang w:val="en-US" w:eastAsia="zh-CN"/>
        </w:rPr>
        <w:t>400064</w:t>
      </w:r>
      <w:r>
        <w:rPr>
          <w:rFonts w:hint="eastAsia" w:ascii="宋体" w:hAnsi="宋体"/>
          <w:sz w:val="24"/>
        </w:rPr>
        <w:t xml:space="preserve">                         邮政编码：</w:t>
      </w:r>
    </w:p>
    <w:p>
      <w:pPr>
        <w:spacing w:line="6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日期：年月日日期：年月日</w:t>
      </w:r>
    </w:p>
    <w:p>
      <w:pPr>
        <w:spacing w:line="600" w:lineRule="exact"/>
        <w:rPr>
          <w:rFonts w:cs="Times New Roman" w:asciiTheme="minorEastAsia" w:hAnsiTheme="minorEastAsia" w:eastAsiaTheme="minorEastAsia"/>
          <w:sz w:val="24"/>
          <w:szCs w:val="24"/>
        </w:rPr>
      </w:pPr>
    </w:p>
    <w:p>
      <w:pPr>
        <w:spacing w:line="600" w:lineRule="exact"/>
        <w:rPr>
          <w:rFonts w:asciiTheme="minorEastAsia" w:hAnsiTheme="minorEastAsia" w:eastAsiaTheme="minorEastAsia"/>
          <w:sz w:val="24"/>
          <w:szCs w:val="24"/>
        </w:rPr>
      </w:pPr>
      <w:r>
        <w:rPr>
          <w:rFonts w:hint="eastAsia" w:asciiTheme="minorEastAsia" w:hAnsiTheme="minorEastAsia" w:eastAsiaTheme="minorEastAsia"/>
          <w:b/>
          <w:sz w:val="24"/>
          <w:szCs w:val="24"/>
        </w:rPr>
        <w:t>附件1：</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重庆商务职业学院</w:t>
      </w:r>
      <w:r>
        <w:rPr>
          <w:rFonts w:hint="eastAsia" w:asciiTheme="minorEastAsia" w:hAnsiTheme="minorEastAsia" w:eastAsiaTheme="minorEastAsia"/>
          <w:sz w:val="24"/>
          <w:szCs w:val="24"/>
        </w:rPr>
        <w:t>原材料配送服务验收标准》</w:t>
      </w:r>
    </w:p>
    <w:p>
      <w:pPr>
        <w:spacing w:line="60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lang w:eastAsia="zh-CN"/>
        </w:rPr>
        <w:t>重庆商务职业学院</w:t>
      </w:r>
      <w:r>
        <w:rPr>
          <w:rFonts w:hint="eastAsia" w:asciiTheme="minorEastAsia" w:hAnsiTheme="minorEastAsia" w:eastAsiaTheme="minorEastAsia"/>
          <w:sz w:val="24"/>
          <w:szCs w:val="24"/>
        </w:rPr>
        <w:t>原材料配送服务验收标准</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标准所指原材料主要为食堂所需食用原材料，包括类别：主食类，油脂类，荤食类，蔬菜类，副食类，饮料，低值易耗品，物资，机修材料。各类原材料的配送服务企业应按学校招投标要求提供公司资质、货物检验报告等相关资料，同时，饮就货物验收工作，对各大分类及品种作如下验收标准。</w:t>
      </w:r>
    </w:p>
    <w:p>
      <w:pPr>
        <w:widowControl w:val="0"/>
        <w:spacing w:line="600" w:lineRule="exact"/>
        <w:ind w:firstLine="482" w:firstLineChars="2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一、主食类</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主食类主要是指粮食类（谷类）食物，有大米、面粉、饺子、汤圆等，该类材料主要为袋装，首先应保证材料有生产厂家、生产日期，且商品在保质期内，质保期不低于3个月，并根据入货品种分类进行验收。</w:t>
      </w:r>
    </w:p>
    <w:p>
      <w:pPr>
        <w:pStyle w:val="23"/>
        <w:widowControl/>
        <w:shd w:val="clear" w:color="auto" w:fill="FFFFFF"/>
        <w:spacing w:before="150" w:after="150" w:line="600" w:lineRule="exact"/>
        <w:rPr>
          <w:rFonts w:cs="仿宋" w:asciiTheme="minorEastAsia" w:hAnsiTheme="minorEastAsia" w:eastAsiaTheme="minorEastAsia"/>
        </w:rPr>
      </w:pPr>
      <w:r>
        <w:rPr>
          <w:rFonts w:hint="eastAsia" w:cs="仿宋" w:asciiTheme="minorEastAsia" w:hAnsiTheme="minorEastAsia" w:eastAsiaTheme="minorEastAsia"/>
        </w:rPr>
        <w:t>1.</w:t>
      </w:r>
      <w:r>
        <w:rPr>
          <w:rFonts w:cs="仿宋" w:asciiTheme="minorEastAsia" w:hAnsiTheme="minorEastAsia" w:eastAsiaTheme="minorEastAsia"/>
        </w:rPr>
        <w:t>大米：呈透明、半透明或白色，有色泽，透明玉色状,符合应有品种的粒形，具有新鲜米特有的香味，无异味。验收中要求米粒白净成形，无虫，无杂质，无霉块，碎米较少，黏米含量低，手触摸米无潮湿感。</w:t>
      </w:r>
    </w:p>
    <w:p>
      <w:pPr>
        <w:pStyle w:val="23"/>
        <w:widowControl/>
        <w:shd w:val="clear" w:color="auto" w:fill="FFFFFF"/>
        <w:spacing w:before="150" w:after="150" w:line="600" w:lineRule="exact"/>
        <w:rPr>
          <w:rFonts w:cs="仿宋" w:asciiTheme="minorEastAsia" w:hAnsiTheme="minorEastAsia" w:eastAsiaTheme="minorEastAsia"/>
        </w:rPr>
      </w:pPr>
      <w:r>
        <w:rPr>
          <w:rFonts w:hint="eastAsia" w:cs="仿宋" w:asciiTheme="minorEastAsia" w:hAnsiTheme="minorEastAsia" w:eastAsiaTheme="minorEastAsia"/>
        </w:rPr>
        <w:t>2.</w:t>
      </w:r>
      <w:r>
        <w:rPr>
          <w:rFonts w:cs="仿宋" w:asciiTheme="minorEastAsia" w:hAnsiTheme="minorEastAsia" w:eastAsiaTheme="minorEastAsia"/>
        </w:rPr>
        <w:t>面粉：淡黄色或乳白色，具有一定的清香味，手感细腻，粗细均匀，无潮湿感，干燥松散无结块，无异味，无杂质。</w:t>
      </w:r>
    </w:p>
    <w:p>
      <w:pPr>
        <w:pStyle w:val="23"/>
        <w:widowControl/>
        <w:shd w:val="clear" w:color="auto" w:fill="FFFFFF"/>
        <w:spacing w:before="150" w:after="150" w:line="600" w:lineRule="exact"/>
        <w:rPr>
          <w:rFonts w:cs="仿宋" w:asciiTheme="minorEastAsia" w:hAnsiTheme="minorEastAsia" w:eastAsiaTheme="minorEastAsia"/>
        </w:rPr>
      </w:pPr>
      <w:r>
        <w:rPr>
          <w:rFonts w:hint="eastAsia" w:cs="仿宋" w:asciiTheme="minorEastAsia" w:hAnsiTheme="minorEastAsia" w:eastAsiaTheme="minorEastAsia"/>
        </w:rPr>
        <w:t>3.</w:t>
      </w:r>
      <w:r>
        <w:rPr>
          <w:rFonts w:cs="仿宋" w:asciiTheme="minorEastAsia" w:hAnsiTheme="minorEastAsia" w:eastAsiaTheme="minorEastAsia"/>
        </w:rPr>
        <w:t>水面、米线、米粉、干面：色泽正常，均匀一致；气味正常，无酸味、霉味及其他异味。</w:t>
      </w:r>
    </w:p>
    <w:p>
      <w:pPr>
        <w:pStyle w:val="23"/>
        <w:widowControl/>
        <w:shd w:val="clear" w:color="auto" w:fill="FFFFFF"/>
        <w:spacing w:before="150" w:after="150" w:line="600" w:lineRule="exact"/>
        <w:rPr>
          <w:rFonts w:cs="仿宋" w:asciiTheme="minorEastAsia" w:hAnsiTheme="minorEastAsia" w:eastAsiaTheme="minorEastAsia"/>
        </w:rPr>
      </w:pPr>
      <w:r>
        <w:rPr>
          <w:rFonts w:hint="eastAsia" w:cs="仿宋" w:asciiTheme="minorEastAsia" w:hAnsiTheme="minorEastAsia" w:eastAsiaTheme="minorEastAsia"/>
        </w:rPr>
        <w:t>4.</w:t>
      </w:r>
      <w:r>
        <w:rPr>
          <w:rFonts w:cs="仿宋" w:asciiTheme="minorEastAsia" w:hAnsiTheme="minorEastAsia" w:eastAsiaTheme="minorEastAsia"/>
        </w:rPr>
        <w:t>速冻饺子、速冻汤圆：三证齐全，在保质期内，质保期不低于10天，无破皮。</w:t>
      </w:r>
    </w:p>
    <w:p>
      <w:pPr>
        <w:pStyle w:val="23"/>
        <w:widowControl/>
        <w:shd w:val="clear" w:color="auto" w:fill="FFFFFF"/>
        <w:spacing w:before="150" w:after="150" w:line="600" w:lineRule="exact"/>
        <w:ind w:firstLine="482" w:firstLineChars="200"/>
        <w:rPr>
          <w:rFonts w:cs="仿宋" w:asciiTheme="minorEastAsia" w:hAnsiTheme="minorEastAsia" w:eastAsiaTheme="minorEastAsia"/>
          <w:b/>
        </w:rPr>
      </w:pPr>
      <w:r>
        <w:rPr>
          <w:rFonts w:hint="eastAsia" w:cs="仿宋" w:asciiTheme="minorEastAsia" w:hAnsiTheme="minorEastAsia" w:eastAsiaTheme="minorEastAsia"/>
          <w:b/>
        </w:rPr>
        <w:t>二、</w:t>
      </w:r>
      <w:r>
        <w:rPr>
          <w:rFonts w:cs="仿宋" w:asciiTheme="minorEastAsia" w:hAnsiTheme="minorEastAsia" w:eastAsiaTheme="minorEastAsia"/>
          <w:b/>
        </w:rPr>
        <w:t>油脂类</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油脂类主要是菜籽油、色拉油、大豆油，该类材料主要为桶装，首先应保证材料包装标示良好，有生产厂家、生产日期，且商品在保质期内，质保期不低于3个月，并根据入货品种分类进行验收。</w:t>
      </w:r>
    </w:p>
    <w:p>
      <w:pPr>
        <w:widowControl w:val="0"/>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1.大豆油：外包装完整，标记有GB 2716 食用植物油</w:t>
      </w:r>
      <w:r>
        <w:fldChar w:fldCharType="begin"/>
      </w:r>
      <w:r>
        <w:instrText xml:space="preserve"> HYPERLINK "https://baike.baidu.com/item/%E5%8D%AB%E7%94%9F%E6%A0%87%E5%87%86/4199255" \t "https://baike.baidu.com/item/%E8%8F%9C%E7%B1%BD%E6%B2%B9%E5%9B%BD%E5%AE%B6%E8%B4%A8%E9%87%8F%E6%A0%87%E5%87%86/_blank" </w:instrText>
      </w:r>
      <w:r>
        <w:fldChar w:fldCharType="separate"/>
      </w:r>
      <w:r>
        <w:rPr>
          <w:rFonts w:cs="仿宋" w:asciiTheme="minorEastAsia" w:hAnsiTheme="minorEastAsia" w:eastAsiaTheme="minorEastAsia"/>
          <w:sz w:val="24"/>
          <w:szCs w:val="24"/>
        </w:rPr>
        <w:t>卫生标准</w:t>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，GB7718食品标签通用标准等，三证齐全，在质保期3个月以内，液体具有油脂正常颜色，澄清透明，无焦臭味、酸败及其他异味，清晰透明、不混浊、无沉淀、无悬浮物。</w:t>
      </w:r>
    </w:p>
    <w:p>
      <w:pPr>
        <w:widowControl w:val="0"/>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2.菜籽油：外包装完整，标记有GB 2716 食用植物油</w:t>
      </w:r>
      <w:r>
        <w:fldChar w:fldCharType="begin"/>
      </w:r>
      <w:r>
        <w:instrText xml:space="preserve"> HYPERLINK "https://baike.baidu.com/item/%E5%8D%AB%E7%94%9F%E6%A0%87%E5%87%86/4199255" \t "https://baike.baidu.com/item/%E8%8F%9C%E7%B1%BD%E6%B2%B9%E5%9B%BD%E5%AE%B6%E8%B4%A8%E9%87%8F%E6%A0%87%E5%87%86/_blank" </w:instrText>
      </w:r>
      <w:r>
        <w:fldChar w:fldCharType="separate"/>
      </w:r>
      <w:r>
        <w:rPr>
          <w:rFonts w:cs="仿宋" w:asciiTheme="minorEastAsia" w:hAnsiTheme="minorEastAsia" w:eastAsiaTheme="minorEastAsia"/>
          <w:sz w:val="24"/>
          <w:szCs w:val="24"/>
        </w:rPr>
        <w:t>卫生标准</w:t>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，GB7718食品标签通用标准等，三证齐全，在质保期3个月以内，液体具有油脂正常颜色，澄清透明，无焦臭味、酸败及其他异味，清晰透明、不混浊、无沉淀、无悬浮物。</w:t>
      </w:r>
    </w:p>
    <w:p>
      <w:pPr>
        <w:widowControl w:val="0"/>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3.色拉油：外包装完整，标记有GB 2716 食用植物油</w:t>
      </w:r>
      <w:r>
        <w:fldChar w:fldCharType="begin"/>
      </w:r>
      <w:r>
        <w:instrText xml:space="preserve"> HYPERLINK "https://baike.baidu.com/item/%E5%8D%AB%E7%94%9F%E6%A0%87%E5%87%86/4199255" \t "https://baike.baidu.com/item/%E8%8F%9C%E7%B1%BD%E6%B2%B9%E5%9B%BD%E5%AE%B6%E8%B4%A8%E9%87%8F%E6%A0%87%E5%87%86/_blank" </w:instrText>
      </w:r>
      <w:r>
        <w:fldChar w:fldCharType="separate"/>
      </w:r>
      <w:r>
        <w:rPr>
          <w:rFonts w:cs="仿宋" w:asciiTheme="minorEastAsia" w:hAnsiTheme="minorEastAsia" w:eastAsiaTheme="minorEastAsia"/>
          <w:sz w:val="24"/>
          <w:szCs w:val="24"/>
        </w:rPr>
        <w:t>卫生标准</w:t>
      </w:r>
      <w:r>
        <w:rPr>
          <w:rFonts w:cs="仿宋" w:asciiTheme="minorEastAsia" w:hAnsiTheme="minorEastAsia" w:eastAsiaTheme="minorEastAsia"/>
          <w:sz w:val="24"/>
          <w:szCs w:val="24"/>
        </w:rPr>
        <w:fldChar w:fldCharType="end"/>
      </w:r>
      <w:r>
        <w:rPr>
          <w:rFonts w:hint="eastAsia" w:cs="仿宋" w:asciiTheme="minorEastAsia" w:hAnsiTheme="minorEastAsia" w:eastAsiaTheme="minorEastAsia"/>
          <w:sz w:val="24"/>
          <w:szCs w:val="24"/>
        </w:rPr>
        <w:t>，GB7718食品标签通用标准等，三证齐全，在质保期3个月以内，液体具有油脂正常颜色，澄清透明，无焦臭味、酸败及其他异味，清晰透明、不混浊、无沉淀、无悬浮物。</w:t>
      </w:r>
    </w:p>
    <w:p>
      <w:pPr>
        <w:spacing w:line="600" w:lineRule="exact"/>
        <w:ind w:firstLine="6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三、荤食类</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荤食类主要包括鲜活产品、速冻产品，鲜活主要为猪肉、牛肉、鲜禽畜等，鲜活产品应有检疫证且检疫时间为送货当天，并有国家检疫机关相应标记；速冻包括有冻虾、冻鸡等，除检疫票据，应有生产厂家，保质期，生产日期等。根据入货品种分类进行验收要求如下。</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1.鲜活荤食，</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1）腿瘦肉、夹子瘦肉、里脊：新鲜，整块成形；</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2）带皮三线、去皮三线：新鲜，肥膘在3CM以内，无宝肋、干净无毛；</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3）带皮二刀、带皮槽头：新鲜，干净无毛，无杂质；</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4）猪肝：新鲜，去胆，无病变；</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5）去皮槽头：干净，无淋巴；</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6）仟排：新鲜，不带颈椎骨；</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7）前排：新鲜，带颈椎骨，不少于3根肋骨；</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8）心舌、肚子、腰子、猪心、鲜肥肠、牛腩：新鲜，干净，无水、血及其他异物；</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9）鸭蛋、鸡蛋、皮蛋、鹌鹑蛋：无裂痕，气室固定，无血斑血丝、肉斑、异物；</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10）鲜活鱼:眼球饱满凸出，角膜透明清亮，有弹性，鱼腹正常不膨胀，肛孔白色，凹陷；</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11）活虾：虾色青色、皮亮、身硬，不掉头，全尾；</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12）活蟹：蟹壳呈青灰色、蟹螯和触腿完整、腿的关节有弹性、蟹的两端壳尖无损伤的；</w:t>
      </w:r>
    </w:p>
    <w:p>
      <w:pPr>
        <w:pStyle w:val="23"/>
        <w:widowControl/>
        <w:shd w:val="clear" w:color="auto" w:fill="FFFFFF"/>
        <w:spacing w:line="600" w:lineRule="exact"/>
        <w:ind w:firstLine="480" w:firstLineChars="200"/>
        <w:rPr>
          <w:rFonts w:cs="仿宋" w:asciiTheme="minorEastAsia" w:hAnsiTheme="minorEastAsia" w:eastAsiaTheme="minorEastAsia"/>
        </w:rPr>
      </w:pPr>
      <w:r>
        <w:rPr>
          <w:rFonts w:cs="仿宋" w:asciiTheme="minorEastAsia" w:hAnsiTheme="minorEastAsia" w:eastAsiaTheme="minorEastAsia"/>
        </w:rPr>
        <w:t>13）鸡、鸭等禽畜类:从刀口辨别，如果刀口不平整、放血良好的是活鸡屠宰；刀口平整甚至无刀口、有残血、血呈暗红色，就可能是死后屠宰的鸡。</w:t>
      </w:r>
    </w:p>
    <w:p>
      <w:pPr>
        <w:widowControl w:val="0"/>
        <w:spacing w:line="600" w:lineRule="exact"/>
        <w:ind w:firstLine="600" w:firstLineChars="25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2.冻货荤食</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食堂所使用的速冻产品大多为整件包装，速冻产品应保证材料包装标示良好，有生产厂家、生产日期、国家指定检验标示等，且商品在保质期内，质保期不低于2个月（时效较短的产品质保期不低于3-7天）。验收中必须查验外包装相应标示，内包装是否破损，漏气等。</w:t>
      </w:r>
    </w:p>
    <w:p>
      <w:pPr>
        <w:spacing w:line="600" w:lineRule="exact"/>
        <w:ind w:firstLine="6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四、副食</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副食包括有较多单品，主要有调辅料、奶制品等，该大类物品有整件包装、散装等不同包装，针对不同属性的单品、包装进行了如下分类验收鉴别要求。</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奶制品：主要为瓶装酸牛奶、盒装酸牛奶、袋装酸牛奶，该类产品应保证包装标示良好，有生产厂家、生产日期、国家指定检验标示等，且商品在保质期内，质保期不低于不低于3-7天。验收中必须查验外包装相应标示，内包装是否破损，漏气等。</w:t>
      </w:r>
    </w:p>
    <w:p>
      <w:pPr>
        <w:widowControl w:val="0"/>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如盐，味精，鸡精、醋，酱油，老抽、生抽，芽菜，榨菜，红肠，豆腐乳等，主要为整件包装或瓶装，该类产品应保证材料包装标示良好，有生产厂家、生产日期、国家指定检验标示等，且商品在保质期内，质保期不低于2个月（时效较短的产品质保期不低于7天）。验收中必须查验外包装相应标示，内包装是否破损，漏气，是否有杂质、结块等。</w:t>
      </w:r>
    </w:p>
    <w:p>
      <w:pPr>
        <w:widowControl w:val="0"/>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3.桂皮、茴香、花椒、胡椒、干海椒等散装产品，必须由指定商家送货，验收中必须查验干燥度、无结块，形正。</w:t>
      </w:r>
    </w:p>
    <w:p>
      <w:pPr>
        <w:widowControl w:val="0"/>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豆类、米类：如大豆，红豆，黄豆，黑米，八宝米等，应保证包装标示良好，有生产厂家、生产日期、国家指定检验标示等，且商品在保质期内，质保期不低于1个月，验收查验外包装相应标示，且干净，透明，无杂质，无包装破损，无结块。</w:t>
      </w:r>
    </w:p>
    <w:p>
      <w:pPr>
        <w:spacing w:line="600" w:lineRule="exact"/>
        <w:ind w:firstLine="6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五、饮料</w:t>
      </w:r>
    </w:p>
    <w:p>
      <w:pPr>
        <w:spacing w:line="600" w:lineRule="exact"/>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该大类主要为食堂售卖的可乐、橙汁等，以塑料瓶装、玻璃瓶装为主，应保证包装标示良好，有生产厂家、生产日期、国家指定检验标示等，且商品在保质期内，质保期不低于3个月，验收查验外包装相应标示，且干净，透明，无杂质，无包装破损。</w:t>
      </w:r>
    </w:p>
    <w:p>
      <w:pPr>
        <w:spacing w:line="600" w:lineRule="exact"/>
        <w:ind w:firstLine="482" w:firstLineChars="2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六、低值易耗品、物资、机修材料</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包括有筷子、碗、菜刀、一次性碗筷等就餐用品，网络线路、电路线路等机修材料。此三类需求材料若是就餐用品应保证无污染、无辐射，机修材料以维修规格需求采购。三类产品应对应食堂需求。</w:t>
      </w:r>
    </w:p>
    <w:p>
      <w:pPr>
        <w:spacing w:line="600" w:lineRule="exact"/>
        <w:ind w:firstLine="6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七、蔬菜类</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1.蔬菜质量标准：</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1）合格的质量，蔬菜无病虫害，生理病害及污染，可通过视觉判断；</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2）外观质量，指颜色、大小、形状、外表、整齐度等，可通过视觉和触觉进行判断；</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3）口感质量，新鲜度、成熟度、多汁度、酸甜度、软硬度等，可通过视觉、味觉、触觉来进行判断；</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4）洁净度，货物清洁程度。</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2.蔬菜（毛菜）验收标准：</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1）根茎类，无虫咬、发芽、发霉现象（如土豆）；</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2）叶菜类，无明显浸水，根、茎、叶新鲜，包叶菜外层清洁；3）、花果类，成熟度与工程度良好（如西蓝花、花菜长短）。</w:t>
      </w:r>
    </w:p>
    <w:p>
      <w:pPr>
        <w:spacing w:line="600" w:lineRule="exact"/>
        <w:ind w:firstLine="6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3.蔬菜（净菜）验收标准，净菜应具有新鲜蔬菜原有的特性。成熟度适中，新鲜脆嫩，色泽良好，形态正常，个体均匀，外观清洁，无腐烂、无霉变、无异味，无影响食用的病虫害状态及机械伤。</w:t>
      </w:r>
    </w:p>
    <w:p>
      <w:pPr>
        <w:ind w:firstLine="600"/>
        <w:rPr>
          <w:rFonts w:ascii="仿宋" w:hAnsi="仿宋" w:eastAsia="仿宋" w:cs="仿宋"/>
          <w:sz w:val="24"/>
          <w:szCs w:val="24"/>
        </w:rPr>
      </w:pPr>
      <w:r>
        <w:rPr>
          <w:rFonts w:hint="eastAsia" w:cs="仿宋" w:asciiTheme="minorEastAsia" w:hAnsiTheme="minorEastAsia" w:eastAsiaTheme="minorEastAsia"/>
          <w:sz w:val="24"/>
          <w:szCs w:val="24"/>
        </w:rPr>
        <w:t>4.</w:t>
      </w:r>
      <w:r>
        <w:rPr>
          <w:rFonts w:hint="eastAsia" w:ascii="仿宋" w:hAnsi="仿宋" w:eastAsia="仿宋" w:cs="仿宋"/>
          <w:sz w:val="24"/>
          <w:szCs w:val="24"/>
        </w:rPr>
        <w:t>部分品种蔬菜（毛菜）验收标准</w:t>
      </w:r>
    </w:p>
    <w:tbl>
      <w:tblPr>
        <w:tblStyle w:val="25"/>
        <w:tblW w:w="10095" w:type="dxa"/>
        <w:jc w:val="center"/>
        <w:tblInd w:w="0" w:type="dxa"/>
        <w:tblLayout w:type="fixed"/>
        <w:tblCellMar>
          <w:top w:w="0" w:type="dxa"/>
          <w:left w:w="108" w:type="dxa"/>
          <w:bottom w:w="0" w:type="dxa"/>
          <w:right w:w="108" w:type="dxa"/>
        </w:tblCellMar>
      </w:tblPr>
      <w:tblGrid>
        <w:gridCol w:w="617"/>
        <w:gridCol w:w="863"/>
        <w:gridCol w:w="4114"/>
        <w:gridCol w:w="3827"/>
        <w:gridCol w:w="674"/>
      </w:tblGrid>
      <w:tr>
        <w:tblPrEx>
          <w:tblLayout w:type="fixed"/>
          <w:tblCellMar>
            <w:top w:w="0" w:type="dxa"/>
            <w:left w:w="108" w:type="dxa"/>
            <w:bottom w:w="0" w:type="dxa"/>
            <w:right w:w="108" w:type="dxa"/>
          </w:tblCellMar>
        </w:tblPrEx>
        <w:trPr>
          <w:trHeight w:val="402" w:hRule="atLeast"/>
          <w:jc w:val="center"/>
        </w:trPr>
        <w:tc>
          <w:tcPr>
            <w:tcW w:w="617"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品名</w:t>
            </w:r>
          </w:p>
        </w:tc>
        <w:tc>
          <w:tcPr>
            <w:tcW w:w="411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优质质量状态</w:t>
            </w:r>
          </w:p>
        </w:tc>
        <w:tc>
          <w:tcPr>
            <w:tcW w:w="3827"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劣质质量状态</w:t>
            </w:r>
          </w:p>
        </w:tc>
        <w:tc>
          <w:tcPr>
            <w:tcW w:w="67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b/>
                <w:bCs/>
                <w:color w:val="000000"/>
                <w:sz w:val="22"/>
                <w:szCs w:val="22"/>
              </w:rPr>
            </w:pPr>
            <w:r>
              <w:rPr>
                <w:rFonts w:hint="eastAsia" w:ascii="宋体" w:hAnsi="宋体" w:cs="宋体"/>
                <w:b/>
                <w:bCs/>
                <w:color w:val="000000"/>
                <w:sz w:val="22"/>
                <w:szCs w:val="22"/>
              </w:rPr>
              <w:t>备注</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小白菜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梗白色、较嫩，叶子淡绿色，整颗菜水分充足，无根。</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有黄叶、枯萎、虫蛀洞或小虫，腐烂，压伤。</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油菜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梗短粗、呈淡绿色或白色，叶子厚、肥大，无花蕾，无根。</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有黄叶、枯萎、虫蛀洞或小虫，有花蕾、腐烂、压伤。</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韭菜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叶较宽、挺直，翠绿色，根部洁白，软嫩且有香味，根株均匀。</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有泥土，黄叶或叶上有斑、枯萎，干尖，腐烂</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西芹</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叶茎宽厚、颜色深绿，新鲜肥嫩，根部绿白色。</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有黄叶、梗伤、水锈、腐烂、断裂、枯萎。</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5</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菠菜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颜色碧绿、鲜嫩，叶子大，挺直，根桃红、无主茎且叶柄无红色，颗株适当。</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有黄叶、枯叶、干尖，腐烂、虫眼、断裂。</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6</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生菜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颜色鲜艳淡绿，叶子水分充足、脆嫩薄、颗株挺直。</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叶子发黄、褐色、褐斑，干软，有烂根、脱叶。</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7</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空心菜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叶薄小、翠绿，有光泽，颗株挺直，梗细嫩脆、淡绿色，无黄斑、茎部不太长。</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叶子大、黄叶、烂叶或叶斑，有花蕾、虫洞、腐烂，颗株软，梗粗老。</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8</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芥蓝</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颜色墨绿、叶有白霜、挺直，梗皮有光泽、绿色、粗长，断面绿白色、湿润。</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叶枯萎、有花蕾、压伤，断面黄色、锈色、腐烂或干涩。</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9</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小葱</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叶翠绿、饱满充气、均匀细长，鳞茎洁白、挺直，香味浓郁。</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有黄叶、烂叶、干尖、叶斑，有毛根、泥土，枯萎，茎弯曲或浸水过多。</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10</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香菜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翠嫩、挺直、根部无泥，香气重、水分充足。</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有黄叶、腐烂、泥土、发焉。</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11</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青椒</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长形或萝卜状，颜色碧绿、有光泽、表面光滑，饱满有一定硬度和弹性，肉层中等，有辣味。</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腐烂、干尖、表面无光泽、有皱纹，断裂、干软、凹陷，有泥土。</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12</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尖椒</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细长圆锥状，颜色黄绿或碧绿、有光泽、表面光滑，饱满有一定硬度和弹性，肉薄籽多，辣味重</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腐烂干尖、表面无光泽、有皱纹、断裂、干软、划痕。</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13</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西红柿</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颜色大红、粉红或黄色，光泽亮艳，个大圆整，饱满有弹性，至少八成熟，肉猴籽少、味甜中带酸。</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腐烂、压伤，过软或过硬，表面有斑点或破裂，畸形果。</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14</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大白菜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外叶淡绿色、奶黄色，帮白，内叶乳白色，叶新鲜光泽，颗完整、包心坚实紧密，根部断面洁白完整。</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空心、烂心、压伤、冻伤、虫蛀、雨淋水浸、裂缝，老帮黄叶、外叶萎焉，包心松，有泥土。</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16</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大葱</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葱叶为管状、绿色、葱白长、紧实、挺直，无根。</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花皮，枯萎、萎叶黄叶，有泥土，葱白松空、弯曲。</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17</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茄子</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色正（紫、绿、白）、形正（棒形、卵形、灯泡形），表面光滑有色泽，有弹性不软，皮薄肉嫩籽少，个体均匀。</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表皮有皱，压伤、虫蛀、烂斑，籽肉分离，太软。</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18</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莴笋</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笋形粗壮、条直、均匀，叶绿色，茎皮光泽、绿或淡绿色，断面碧绿，嫩叶少。</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压伤、裂纹、水锈斑，空心、皮厚，黄叶、毛根、泥土多，有花蕾。</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19</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蒜苔</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颜色深绿，梗细滑、有光泽、挺直，鲜嫩，指甲掐之易断。</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颜色黄绿，梗粗、表面有皱纹、老、掐之不断，苔尖干黄。</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20</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花菜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花蕾颜色洁白或乳白、细密紧实不散，球形完整、表面湿润，花梗乳白或淡绿、紧凑，外叶绿色且少，主茎短，断面洁白。</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花蕾发黄、有黑斑及污点、粗而松，表面发干，压伤、刀伤、虫害，主茎长。</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21</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西蓝花</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花蕾颜色深绿、细密，球形完整、表面有白霜，花梗深绿绿、紧凑，外叶绿色且少，主茎短，断面洁白。</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花蕾有烂斑、污点、粗而松，表面发干，压伤、刀伤、虫害，主茎长。</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22</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黄瓜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颜色青绿，瓜身细短、条直均匀，瓜把小，顶花带刺，用手去搓会有刺痛感，有光泽，肉脆甜，瓢小子少。</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颜色黄，皮皱，有大肚或瘦尖、弯曲，有压伤、腐烂、断裂，肉白或有空心。</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23</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冬瓜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皮青翠、有白霜，肉洁白，厚嫩、紧密，膛少，有一定硬度。</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压伤、烂斑、较软，肉有空隙、水分少、发糠。</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24</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丝瓜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有棱和无棱两种，皮颜色翠绿、薄嫩，有白霜，条直均匀、细长挺直，易断无弹性，肉洁白软嫩、籽小。</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颜色泛黄、皮粗糙，弯曲、伤疤、烂斑、黄斑，肉松软或空。</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25</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苦瓜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颜色淡绿色有光泽，凸处明显，条直均匀，一定硬度，飘黄白，籽小，味苦。</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腐烂、压伤、刀伤、磨损，有虫洞、斑点，颜色发黄、甚至发红，瓜身软。</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26</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南瓜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颜色金黄或橙红，瓜形周正，肉金黄、紧密、粉甜，表面硬实。</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斑疤、破裂、虫洞、烂斑、软烂、畸形。</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28</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豇豆</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颜色青绿、有光泽，豆荚细长、均匀、挺直、饱满，有花蒂，有弹性，折之易断。</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虫洞、黄斑、烂斑、粗细不均，豆荚松软、有中空，折之不断、盘丝较韧。</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29</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毛豆</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颜色淡绿、表面有黄色的绒毛、豆荚饱满，剥开后豆粒呈淡绿色、完整，有清香。</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受潮、虫洞、软烂，颜色发黑发黄，豆粒小而瘪，有异味。</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30</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豌豆</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颜色青绿单一、有光泽，豆料打、均匀完整，较嫩。</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颜色杂、大小不均匀，碎粒、烂粒、霉粒、杂质。</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31</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四季豆</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颜色翠绿、表面有细绒毛，豆荚细长均匀、水分充足、饱满，有韧性、能弯曲，指甲掐后有痕，容易断，无老筋。</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有虫洞、斑点水锈腐烂萎焉，纤维明显、盘丝粗韧、豆荚粗壮。</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32</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土豆</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颜色为淡黄色或奶白色，个大形正、大小整齐，表面光滑，体硬不软、饱满。</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发芽、青斑、萎焉、腐烂、坑多，有毛根、泥土、糙皮。</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33</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洋葱</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鳞片颜色粉白或紫白、鳞片肥厚、完整无损、抱合紧密，球茎干度适中，有一定的硬度。</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腐烂、干枯、过软、裂开、发芽、发乌、有泥土。</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34</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胡萝卜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颜色红色或橘黄色，表面光滑、条直匀称、粗壮、硬是不软。</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表面皱缩，刀伤、形裂、体软、褐斑，肉质薄、发糠，泥土。</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35</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白萝卜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颜色为洁白光亮，表面光滑、细腻，形体完整、分量重，底部切面洁白，水分大，肉嫩脆、味甜适中。</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糠心、花心、灰心、断裂、压伤、虫洞，毛根、糙皮，泥土多，表面有黄斑或褐斑。</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36</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藕</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表皮颜色白中微黄，藕节肥大、无叉，水分充足，肉洁白、脆嫩。</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有外伤、断裂、褐斑、干萎。</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37</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西芹</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叶翠绿、无主茎、分支少，根细，茎挺直、脆，芹香味浓，水分充足。</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茎粗、叶黄，分支多。</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38</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山药</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表皮呈淡黄、肉色，带有小须，切面肉质洁白，个大质坚。</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粗细不均，有斑点、有硬伤，须毛较少，泥土较多，横切面肉质发黄。</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39</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娃娃菜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叶子嫩黄，菜帮薄，叶脉细，页面平整，微甜，味道无生性味。</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叶子皱缩程度严重，呈扭曲状，页面不平整。</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40</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黄豆芽</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豆芽挺直，芽身短而粗，根须少，芽色洁白晶莹。</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发黄、发黑、干燥，豆壳多，断芽、烂头、烂尾。</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42</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绿豆芽</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略呈黄色，不太粗，水分适中，无异味。</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颜色发白，豆粒发蓝，芽茎粗壮，水分较多，有化肥的味道。</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43</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红薯</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颜色粉红或淡蓝色，依品种而定。个大形正、大小整齐，表皮无伤，体硬不软、饱满。</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腐烂、破皮、坑眼多、畸形、发软等。</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44</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生姜</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颜色淡黄、表皮完整，姜体硬脆、肥大，有辛香味。</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烂斑、干硬、碰伤、毛根、泥土。</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45</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金针菇</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菌盖颜色乳白、菌柄淡黄色、根部淡褐色，菌身细短、挺直。</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腐烂、潮湿、枯萎、菌盖脱落、柄粗长、颜色发黄。</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46</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杏鲍菇</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表面有丝状光泽，平滑、干燥、细纤维状，成熟后呈波浪状或深裂，菌肉白色，具有杏仁味，无乳汁分泌。</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形体不完整，无光泽，菌肉有黑斑点，用手捏发粘，无弹性。</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r>
        <w:tblPrEx>
          <w:tblLayout w:type="fixed"/>
          <w:tblCellMar>
            <w:top w:w="0" w:type="dxa"/>
            <w:left w:w="108" w:type="dxa"/>
            <w:bottom w:w="0" w:type="dxa"/>
            <w:right w:w="108" w:type="dxa"/>
          </w:tblCellMar>
        </w:tblPrEx>
        <w:trPr>
          <w:trHeight w:val="702" w:hRule="atLeast"/>
          <w:jc w:val="center"/>
        </w:trPr>
        <w:tc>
          <w:tcPr>
            <w:tcW w:w="61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47</w:t>
            </w:r>
          </w:p>
        </w:tc>
        <w:tc>
          <w:tcPr>
            <w:tcW w:w="863"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平菇</w:t>
            </w:r>
          </w:p>
        </w:tc>
        <w:tc>
          <w:tcPr>
            <w:tcW w:w="4114"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形状整齐不缺边，颜色正常，质地肥厚，无杂味，菌伞的边缘向内卷曲。</w:t>
            </w:r>
          </w:p>
        </w:tc>
        <w:tc>
          <w:tcPr>
            <w:tcW w:w="3827" w:type="dxa"/>
            <w:tcBorders>
              <w:top w:val="nil"/>
              <w:left w:val="nil"/>
              <w:bottom w:val="single" w:color="auto" w:sz="4" w:space="0"/>
              <w:right w:val="single" w:color="auto" w:sz="4" w:space="0"/>
            </w:tcBorders>
            <w:shd w:val="clear" w:color="auto" w:fill="auto"/>
            <w:vAlign w:val="center"/>
          </w:tcPr>
          <w:p>
            <w:pPr>
              <w:rPr>
                <w:rFonts w:ascii="仿宋" w:hAnsi="仿宋" w:eastAsia="仿宋" w:cs="宋体"/>
                <w:color w:val="000000"/>
              </w:rPr>
            </w:pPr>
            <w:r>
              <w:rPr>
                <w:rFonts w:hint="eastAsia" w:ascii="仿宋" w:hAnsi="仿宋" w:eastAsia="仿宋" w:cs="宋体"/>
                <w:color w:val="000000"/>
              </w:rPr>
              <w:t>伞形不完整，缺边，发粘，变味。</w:t>
            </w:r>
          </w:p>
        </w:tc>
        <w:tc>
          <w:tcPr>
            <w:tcW w:w="674" w:type="dxa"/>
            <w:tcBorders>
              <w:top w:val="nil"/>
              <w:left w:val="nil"/>
              <w:bottom w:val="single" w:color="auto" w:sz="4" w:space="0"/>
              <w:right w:val="single" w:color="auto" w:sz="4" w:space="0"/>
            </w:tcBorders>
            <w:shd w:val="clear" w:color="auto" w:fill="auto"/>
          </w:tcPr>
          <w:p>
            <w:pPr>
              <w:rPr>
                <w:rFonts w:ascii="仿宋" w:hAnsi="仿宋" w:eastAsia="仿宋" w:cs="宋体"/>
                <w:color w:val="000000"/>
                <w:sz w:val="24"/>
                <w:szCs w:val="24"/>
              </w:rPr>
            </w:pPr>
            <w:r>
              <w:rPr>
                <w:rFonts w:hint="eastAsia" w:ascii="仿宋" w:hAnsi="仿宋" w:eastAsia="仿宋" w:cs="宋体"/>
                <w:color w:val="000000"/>
                <w:sz w:val="24"/>
                <w:szCs w:val="24"/>
              </w:rPr>
              <w:t>　</w:t>
            </w:r>
          </w:p>
        </w:tc>
      </w:tr>
    </w:tbl>
    <w:p>
      <w:pPr>
        <w:widowControl w:val="0"/>
        <w:spacing w:line="600" w:lineRule="exact"/>
        <w:jc w:val="center"/>
        <w:rPr>
          <w:rFonts w:asciiTheme="minorEastAsia" w:hAnsiTheme="minorEastAsia" w:eastAsiaTheme="minorEastAsia"/>
          <w:sz w:val="24"/>
          <w:szCs w:val="24"/>
        </w:rPr>
      </w:pPr>
    </w:p>
    <w:p>
      <w:pPr>
        <w:rPr>
          <w:rFonts w:cs="Times New Roman"/>
          <w:sz w:val="24"/>
          <w:szCs w:val="24"/>
        </w:rPr>
      </w:pPr>
    </w:p>
    <w:sectPr>
      <w:type w:val="continuous"/>
      <w:pgSz w:w="11900" w:h="16838"/>
      <w:pgMar w:top="1134" w:right="1186" w:bottom="1134" w:left="1134" w:header="0" w:footer="0" w:gutter="0"/>
      <w:cols w:equalWidth="0" w:num="1">
        <w:col w:w="9586"/>
      </w:cols>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7675"/>
      <w:docPartObj>
        <w:docPartGallery w:val="autotext"/>
      </w:docPartObj>
    </w:sdtPr>
    <w:sdtContent>
      <w:p>
        <w:pPr>
          <w:pStyle w:val="16"/>
          <w:jc w:val="right"/>
        </w:pPr>
        <w:r>
          <w:fldChar w:fldCharType="begin"/>
        </w:r>
        <w:r>
          <w:instrText xml:space="preserve"> PAGE   \* MERGEFORMAT </w:instrText>
        </w:r>
        <w:r>
          <w:fldChar w:fldCharType="separate"/>
        </w:r>
        <w:r>
          <w:rPr>
            <w:lang w:val="zh-CN"/>
          </w:rPr>
          <w:t>48</w:t>
        </w:r>
        <w:r>
          <w:rPr>
            <w:lang w:val="zh-CN"/>
          </w:rPr>
          <w:fldChar w:fldCharType="end"/>
        </w:r>
      </w:p>
    </w:sdtContent>
  </w:sdt>
  <w:p>
    <w:pPr>
      <w:pStyle w:val="16"/>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F6593"/>
    <w:multiLevelType w:val="singleLevel"/>
    <w:tmpl w:val="DA8F6593"/>
    <w:lvl w:ilvl="0" w:tentative="0">
      <w:start w:val="1"/>
      <w:numFmt w:val="decimal"/>
      <w:suff w:val="space"/>
      <w:lvlText w:val="%1."/>
      <w:lvlJc w:val="left"/>
    </w:lvl>
  </w:abstractNum>
  <w:abstractNum w:abstractNumId="1">
    <w:nsid w:val="EBEA09DC"/>
    <w:multiLevelType w:val="singleLevel"/>
    <w:tmpl w:val="EBEA09DC"/>
    <w:lvl w:ilvl="0" w:tentative="0">
      <w:start w:val="1"/>
      <w:numFmt w:val="decimal"/>
      <w:suff w:val="space"/>
      <w:lvlText w:val="（%1）"/>
      <w:lvlJc w:val="left"/>
    </w:lvl>
  </w:abstractNum>
  <w:abstractNum w:abstractNumId="2">
    <w:nsid w:val="00000007"/>
    <w:multiLevelType w:val="multilevel"/>
    <w:tmpl w:val="00000007"/>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0000008"/>
    <w:multiLevelType w:val="multilevel"/>
    <w:tmpl w:val="0000000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4">
    <w:nsid w:val="10332282"/>
    <w:multiLevelType w:val="singleLevel"/>
    <w:tmpl w:val="10332282"/>
    <w:lvl w:ilvl="0" w:tentative="0">
      <w:start w:val="2"/>
      <w:numFmt w:val="chineseCounting"/>
      <w:suff w:val="nothing"/>
      <w:lvlText w:val="%1、"/>
      <w:lvlJc w:val="left"/>
      <w:rPr>
        <w:rFonts w:hint="eastAsia"/>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A4"/>
    <w:rsid w:val="000039BD"/>
    <w:rsid w:val="00004173"/>
    <w:rsid w:val="00005B01"/>
    <w:rsid w:val="00010537"/>
    <w:rsid w:val="00021B78"/>
    <w:rsid w:val="00022197"/>
    <w:rsid w:val="000243CA"/>
    <w:rsid w:val="00030661"/>
    <w:rsid w:val="000431AD"/>
    <w:rsid w:val="00043549"/>
    <w:rsid w:val="0004639C"/>
    <w:rsid w:val="000474CE"/>
    <w:rsid w:val="00055DFF"/>
    <w:rsid w:val="00065A95"/>
    <w:rsid w:val="000759B9"/>
    <w:rsid w:val="000803B3"/>
    <w:rsid w:val="0008154E"/>
    <w:rsid w:val="00092237"/>
    <w:rsid w:val="00096870"/>
    <w:rsid w:val="00096C0F"/>
    <w:rsid w:val="000977B3"/>
    <w:rsid w:val="000A38AF"/>
    <w:rsid w:val="000A7428"/>
    <w:rsid w:val="000B075D"/>
    <w:rsid w:val="000B561E"/>
    <w:rsid w:val="000D116E"/>
    <w:rsid w:val="000E00E3"/>
    <w:rsid w:val="000E3E6B"/>
    <w:rsid w:val="000F30D2"/>
    <w:rsid w:val="000F533A"/>
    <w:rsid w:val="000F5BEE"/>
    <w:rsid w:val="00105015"/>
    <w:rsid w:val="001050DE"/>
    <w:rsid w:val="00107196"/>
    <w:rsid w:val="001079B0"/>
    <w:rsid w:val="001447E1"/>
    <w:rsid w:val="00150320"/>
    <w:rsid w:val="00152190"/>
    <w:rsid w:val="001541C3"/>
    <w:rsid w:val="001570FD"/>
    <w:rsid w:val="00164117"/>
    <w:rsid w:val="00170479"/>
    <w:rsid w:val="0017559A"/>
    <w:rsid w:val="00180891"/>
    <w:rsid w:val="001A6466"/>
    <w:rsid w:val="001B1E76"/>
    <w:rsid w:val="001D296E"/>
    <w:rsid w:val="001D7DEB"/>
    <w:rsid w:val="001E5DF3"/>
    <w:rsid w:val="001E6A24"/>
    <w:rsid w:val="001F7663"/>
    <w:rsid w:val="00204E11"/>
    <w:rsid w:val="002050E8"/>
    <w:rsid w:val="002075D0"/>
    <w:rsid w:val="00207D08"/>
    <w:rsid w:val="00215950"/>
    <w:rsid w:val="00216C28"/>
    <w:rsid w:val="002312A1"/>
    <w:rsid w:val="00232078"/>
    <w:rsid w:val="0023382F"/>
    <w:rsid w:val="002339E6"/>
    <w:rsid w:val="00237DA8"/>
    <w:rsid w:val="00252570"/>
    <w:rsid w:val="002535DA"/>
    <w:rsid w:val="0028612A"/>
    <w:rsid w:val="002925A8"/>
    <w:rsid w:val="002A36EF"/>
    <w:rsid w:val="002B22D0"/>
    <w:rsid w:val="002B3C7C"/>
    <w:rsid w:val="002B5133"/>
    <w:rsid w:val="002C7905"/>
    <w:rsid w:val="002D629E"/>
    <w:rsid w:val="002E028F"/>
    <w:rsid w:val="002E1805"/>
    <w:rsid w:val="002E4935"/>
    <w:rsid w:val="002E5883"/>
    <w:rsid w:val="002F2F2D"/>
    <w:rsid w:val="00302FA3"/>
    <w:rsid w:val="00303DF6"/>
    <w:rsid w:val="0030515B"/>
    <w:rsid w:val="00311387"/>
    <w:rsid w:val="003148AC"/>
    <w:rsid w:val="00315590"/>
    <w:rsid w:val="00315BED"/>
    <w:rsid w:val="00327241"/>
    <w:rsid w:val="003364B8"/>
    <w:rsid w:val="00337FF4"/>
    <w:rsid w:val="00341A05"/>
    <w:rsid w:val="0034343C"/>
    <w:rsid w:val="0035414B"/>
    <w:rsid w:val="00373C04"/>
    <w:rsid w:val="00390C39"/>
    <w:rsid w:val="00392090"/>
    <w:rsid w:val="003A5D87"/>
    <w:rsid w:val="003B69A4"/>
    <w:rsid w:val="003D4A45"/>
    <w:rsid w:val="003D7903"/>
    <w:rsid w:val="003E2FEF"/>
    <w:rsid w:val="003F266C"/>
    <w:rsid w:val="00402F21"/>
    <w:rsid w:val="0040414C"/>
    <w:rsid w:val="004211D8"/>
    <w:rsid w:val="0042470A"/>
    <w:rsid w:val="00425075"/>
    <w:rsid w:val="00432106"/>
    <w:rsid w:val="00432803"/>
    <w:rsid w:val="00433FD7"/>
    <w:rsid w:val="00434987"/>
    <w:rsid w:val="00437310"/>
    <w:rsid w:val="00442A6F"/>
    <w:rsid w:val="00454A7F"/>
    <w:rsid w:val="00462CA1"/>
    <w:rsid w:val="004642C3"/>
    <w:rsid w:val="00466F43"/>
    <w:rsid w:val="004700CF"/>
    <w:rsid w:val="00471081"/>
    <w:rsid w:val="004732D6"/>
    <w:rsid w:val="00487677"/>
    <w:rsid w:val="004917A0"/>
    <w:rsid w:val="00492C15"/>
    <w:rsid w:val="004957D6"/>
    <w:rsid w:val="004A482D"/>
    <w:rsid w:val="004B2B5C"/>
    <w:rsid w:val="004C74FC"/>
    <w:rsid w:val="004D296A"/>
    <w:rsid w:val="004E131B"/>
    <w:rsid w:val="004E3488"/>
    <w:rsid w:val="004E5AFB"/>
    <w:rsid w:val="004F2620"/>
    <w:rsid w:val="004F7816"/>
    <w:rsid w:val="005029E6"/>
    <w:rsid w:val="00507B7D"/>
    <w:rsid w:val="00513E5C"/>
    <w:rsid w:val="00515307"/>
    <w:rsid w:val="00521C57"/>
    <w:rsid w:val="00533481"/>
    <w:rsid w:val="005376BD"/>
    <w:rsid w:val="00541598"/>
    <w:rsid w:val="00542E42"/>
    <w:rsid w:val="00553A78"/>
    <w:rsid w:val="00554C52"/>
    <w:rsid w:val="00556562"/>
    <w:rsid w:val="00560B0B"/>
    <w:rsid w:val="00562067"/>
    <w:rsid w:val="005644E7"/>
    <w:rsid w:val="0057054A"/>
    <w:rsid w:val="00576678"/>
    <w:rsid w:val="00577904"/>
    <w:rsid w:val="00583DB3"/>
    <w:rsid w:val="00586ABC"/>
    <w:rsid w:val="00590798"/>
    <w:rsid w:val="00591505"/>
    <w:rsid w:val="005A30E2"/>
    <w:rsid w:val="005A4406"/>
    <w:rsid w:val="005B0ECA"/>
    <w:rsid w:val="005B546C"/>
    <w:rsid w:val="005C30EA"/>
    <w:rsid w:val="005C49E7"/>
    <w:rsid w:val="005D5FA8"/>
    <w:rsid w:val="005D69E2"/>
    <w:rsid w:val="005E23F6"/>
    <w:rsid w:val="005E41AC"/>
    <w:rsid w:val="005E622D"/>
    <w:rsid w:val="005E7C49"/>
    <w:rsid w:val="005F1ECC"/>
    <w:rsid w:val="006302F0"/>
    <w:rsid w:val="00636066"/>
    <w:rsid w:val="00642785"/>
    <w:rsid w:val="00642C6B"/>
    <w:rsid w:val="00643AE0"/>
    <w:rsid w:val="0064464C"/>
    <w:rsid w:val="00652617"/>
    <w:rsid w:val="00656249"/>
    <w:rsid w:val="0067046D"/>
    <w:rsid w:val="006A64BF"/>
    <w:rsid w:val="006A7CEC"/>
    <w:rsid w:val="006B0CFD"/>
    <w:rsid w:val="006B21C1"/>
    <w:rsid w:val="006B2379"/>
    <w:rsid w:val="006C347B"/>
    <w:rsid w:val="006C722B"/>
    <w:rsid w:val="006D0D5C"/>
    <w:rsid w:val="006D2D50"/>
    <w:rsid w:val="006D662C"/>
    <w:rsid w:val="006E136D"/>
    <w:rsid w:val="006E2455"/>
    <w:rsid w:val="006F5424"/>
    <w:rsid w:val="00702AEF"/>
    <w:rsid w:val="00714DA4"/>
    <w:rsid w:val="00716FDB"/>
    <w:rsid w:val="00727F1C"/>
    <w:rsid w:val="00736685"/>
    <w:rsid w:val="00746FE2"/>
    <w:rsid w:val="007472D6"/>
    <w:rsid w:val="00757076"/>
    <w:rsid w:val="00767755"/>
    <w:rsid w:val="00773F30"/>
    <w:rsid w:val="007743C0"/>
    <w:rsid w:val="007838C8"/>
    <w:rsid w:val="007859C8"/>
    <w:rsid w:val="00795F09"/>
    <w:rsid w:val="0079678F"/>
    <w:rsid w:val="007A15E5"/>
    <w:rsid w:val="007A37B6"/>
    <w:rsid w:val="007B1AAC"/>
    <w:rsid w:val="007B6C68"/>
    <w:rsid w:val="007C221B"/>
    <w:rsid w:val="007C361D"/>
    <w:rsid w:val="007E7C1D"/>
    <w:rsid w:val="00800051"/>
    <w:rsid w:val="00802BA4"/>
    <w:rsid w:val="00805A99"/>
    <w:rsid w:val="00806CCC"/>
    <w:rsid w:val="00806D96"/>
    <w:rsid w:val="00821D8E"/>
    <w:rsid w:val="00825FA3"/>
    <w:rsid w:val="00853FED"/>
    <w:rsid w:val="0085405A"/>
    <w:rsid w:val="00856577"/>
    <w:rsid w:val="00862103"/>
    <w:rsid w:val="00862FA9"/>
    <w:rsid w:val="00872C4F"/>
    <w:rsid w:val="008779FB"/>
    <w:rsid w:val="00882BEA"/>
    <w:rsid w:val="00882E03"/>
    <w:rsid w:val="008836A0"/>
    <w:rsid w:val="00890B2F"/>
    <w:rsid w:val="008A3A29"/>
    <w:rsid w:val="008A7C80"/>
    <w:rsid w:val="008C6428"/>
    <w:rsid w:val="008C7A91"/>
    <w:rsid w:val="008E58A4"/>
    <w:rsid w:val="008F19EE"/>
    <w:rsid w:val="008F70FC"/>
    <w:rsid w:val="00914197"/>
    <w:rsid w:val="00915CFD"/>
    <w:rsid w:val="00925719"/>
    <w:rsid w:val="00932D2D"/>
    <w:rsid w:val="009344FF"/>
    <w:rsid w:val="0095368D"/>
    <w:rsid w:val="00977E16"/>
    <w:rsid w:val="009A3A72"/>
    <w:rsid w:val="009C43F0"/>
    <w:rsid w:val="009C65D7"/>
    <w:rsid w:val="009E1D90"/>
    <w:rsid w:val="009E21F7"/>
    <w:rsid w:val="009F0850"/>
    <w:rsid w:val="009F1312"/>
    <w:rsid w:val="009F2AEC"/>
    <w:rsid w:val="00A06949"/>
    <w:rsid w:val="00A22A80"/>
    <w:rsid w:val="00A260D0"/>
    <w:rsid w:val="00A323D5"/>
    <w:rsid w:val="00A55E5E"/>
    <w:rsid w:val="00A7130C"/>
    <w:rsid w:val="00A72CB7"/>
    <w:rsid w:val="00A77EF2"/>
    <w:rsid w:val="00A807F9"/>
    <w:rsid w:val="00A80B31"/>
    <w:rsid w:val="00A80D57"/>
    <w:rsid w:val="00A82833"/>
    <w:rsid w:val="00A86A94"/>
    <w:rsid w:val="00AB1A1B"/>
    <w:rsid w:val="00AB234E"/>
    <w:rsid w:val="00AC3CC3"/>
    <w:rsid w:val="00AD2A8F"/>
    <w:rsid w:val="00AE23EF"/>
    <w:rsid w:val="00AF5BCA"/>
    <w:rsid w:val="00B14E1D"/>
    <w:rsid w:val="00B238C7"/>
    <w:rsid w:val="00B344D6"/>
    <w:rsid w:val="00B369D0"/>
    <w:rsid w:val="00B45FEE"/>
    <w:rsid w:val="00B47FD2"/>
    <w:rsid w:val="00B50BE2"/>
    <w:rsid w:val="00B50BF8"/>
    <w:rsid w:val="00B530A8"/>
    <w:rsid w:val="00B5512F"/>
    <w:rsid w:val="00B559A8"/>
    <w:rsid w:val="00B618EA"/>
    <w:rsid w:val="00B7459A"/>
    <w:rsid w:val="00BA047C"/>
    <w:rsid w:val="00BA59A4"/>
    <w:rsid w:val="00BB0776"/>
    <w:rsid w:val="00BC064C"/>
    <w:rsid w:val="00BC67E6"/>
    <w:rsid w:val="00BD73F9"/>
    <w:rsid w:val="00BE4946"/>
    <w:rsid w:val="00BE6DF3"/>
    <w:rsid w:val="00BE78C1"/>
    <w:rsid w:val="00BF1EC3"/>
    <w:rsid w:val="00C04D8E"/>
    <w:rsid w:val="00C06E7B"/>
    <w:rsid w:val="00C27DCE"/>
    <w:rsid w:val="00C31EAD"/>
    <w:rsid w:val="00C370D5"/>
    <w:rsid w:val="00C44BE2"/>
    <w:rsid w:val="00C51120"/>
    <w:rsid w:val="00C53A26"/>
    <w:rsid w:val="00C55BCA"/>
    <w:rsid w:val="00C65DA3"/>
    <w:rsid w:val="00C70B28"/>
    <w:rsid w:val="00C72C6C"/>
    <w:rsid w:val="00C72F2E"/>
    <w:rsid w:val="00C828DE"/>
    <w:rsid w:val="00C82E59"/>
    <w:rsid w:val="00C91110"/>
    <w:rsid w:val="00CA2E0F"/>
    <w:rsid w:val="00CA334E"/>
    <w:rsid w:val="00CB23F1"/>
    <w:rsid w:val="00CB3FCC"/>
    <w:rsid w:val="00CB7071"/>
    <w:rsid w:val="00CB71F8"/>
    <w:rsid w:val="00CB75D5"/>
    <w:rsid w:val="00CC14AA"/>
    <w:rsid w:val="00CE24DA"/>
    <w:rsid w:val="00CE35F1"/>
    <w:rsid w:val="00CE5E1B"/>
    <w:rsid w:val="00CF3435"/>
    <w:rsid w:val="00D02C30"/>
    <w:rsid w:val="00D0797A"/>
    <w:rsid w:val="00D14F49"/>
    <w:rsid w:val="00D169F8"/>
    <w:rsid w:val="00D30E8B"/>
    <w:rsid w:val="00D47957"/>
    <w:rsid w:val="00D532E8"/>
    <w:rsid w:val="00D53A73"/>
    <w:rsid w:val="00D66B9D"/>
    <w:rsid w:val="00D753EC"/>
    <w:rsid w:val="00D809A8"/>
    <w:rsid w:val="00D91477"/>
    <w:rsid w:val="00DC250A"/>
    <w:rsid w:val="00DC4828"/>
    <w:rsid w:val="00DD0E16"/>
    <w:rsid w:val="00DD4EBF"/>
    <w:rsid w:val="00DD72EB"/>
    <w:rsid w:val="00DE31DD"/>
    <w:rsid w:val="00DE69D4"/>
    <w:rsid w:val="00DF0EBA"/>
    <w:rsid w:val="00E0038F"/>
    <w:rsid w:val="00E0782F"/>
    <w:rsid w:val="00E15EA3"/>
    <w:rsid w:val="00E3135D"/>
    <w:rsid w:val="00E43B6D"/>
    <w:rsid w:val="00E54D74"/>
    <w:rsid w:val="00E552DF"/>
    <w:rsid w:val="00E71406"/>
    <w:rsid w:val="00E74CB7"/>
    <w:rsid w:val="00E8022A"/>
    <w:rsid w:val="00E80CA7"/>
    <w:rsid w:val="00E910F9"/>
    <w:rsid w:val="00E979B2"/>
    <w:rsid w:val="00EB550F"/>
    <w:rsid w:val="00EC076F"/>
    <w:rsid w:val="00EC5DD9"/>
    <w:rsid w:val="00ED6E09"/>
    <w:rsid w:val="00EE1D65"/>
    <w:rsid w:val="00EF1B15"/>
    <w:rsid w:val="00EF4A74"/>
    <w:rsid w:val="00EF722E"/>
    <w:rsid w:val="00F009F8"/>
    <w:rsid w:val="00F06391"/>
    <w:rsid w:val="00F06C17"/>
    <w:rsid w:val="00F17C87"/>
    <w:rsid w:val="00F20175"/>
    <w:rsid w:val="00F412E2"/>
    <w:rsid w:val="00F564B4"/>
    <w:rsid w:val="00F662CA"/>
    <w:rsid w:val="00F80817"/>
    <w:rsid w:val="00F86374"/>
    <w:rsid w:val="00FA0E8D"/>
    <w:rsid w:val="00FA2471"/>
    <w:rsid w:val="00FB4534"/>
    <w:rsid w:val="00FC0E2B"/>
    <w:rsid w:val="00FD6AFB"/>
    <w:rsid w:val="00FE564B"/>
    <w:rsid w:val="00FE5E4B"/>
    <w:rsid w:val="00FF1DCA"/>
    <w:rsid w:val="08BF47B6"/>
    <w:rsid w:val="0FEE2B2B"/>
    <w:rsid w:val="16432111"/>
    <w:rsid w:val="201C4185"/>
    <w:rsid w:val="343235D6"/>
    <w:rsid w:val="345F2599"/>
    <w:rsid w:val="3BDA36B7"/>
    <w:rsid w:val="3BF7285E"/>
    <w:rsid w:val="3D792DB1"/>
    <w:rsid w:val="3F6B2D1E"/>
    <w:rsid w:val="440A1E21"/>
    <w:rsid w:val="508234B1"/>
    <w:rsid w:val="600814CF"/>
    <w:rsid w:val="61CD033E"/>
    <w:rsid w:val="623E16C7"/>
    <w:rsid w:val="62F62C37"/>
    <w:rsid w:val="64700895"/>
    <w:rsid w:val="78735F98"/>
    <w:rsid w:val="79B07D94"/>
    <w:rsid w:val="7A4D5147"/>
    <w:rsid w:val="7FCF47C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Calibri"/>
      <w:kern w:val="0"/>
      <w:sz w:val="20"/>
      <w:szCs w:val="20"/>
      <w:lang w:val="en-US" w:eastAsia="zh-CN" w:bidi="ar-SA"/>
    </w:rPr>
  </w:style>
  <w:style w:type="paragraph" w:styleId="2">
    <w:name w:val="heading 1"/>
    <w:basedOn w:val="1"/>
    <w:next w:val="1"/>
    <w:link w:val="3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32"/>
    <w:qFormat/>
    <w:uiPriority w:val="99"/>
    <w:pPr>
      <w:keepNext/>
      <w:keepLines/>
      <w:widowControl w:val="0"/>
      <w:spacing w:before="260" w:after="260" w:line="416" w:lineRule="auto"/>
      <w:jc w:val="both"/>
      <w:outlineLvl w:val="1"/>
    </w:pPr>
    <w:rPr>
      <w:rFonts w:ascii="Cambria" w:hAnsi="Cambria" w:cs="Cambria"/>
      <w:b/>
      <w:bCs/>
      <w:kern w:val="2"/>
      <w:sz w:val="32"/>
      <w:szCs w:val="32"/>
    </w:rPr>
  </w:style>
  <w:style w:type="paragraph" w:styleId="4">
    <w:name w:val="heading 3"/>
    <w:basedOn w:val="1"/>
    <w:next w:val="1"/>
    <w:link w:val="44"/>
    <w:semiHidden/>
    <w:unhideWhenUsed/>
    <w:qFormat/>
    <w:locked/>
    <w:uiPriority w:val="0"/>
    <w:pPr>
      <w:keepNext/>
      <w:keepLines/>
      <w:spacing w:before="260" w:after="260" w:line="416" w:lineRule="auto"/>
      <w:outlineLvl w:val="2"/>
    </w:pPr>
    <w:rPr>
      <w:b/>
      <w:bCs/>
      <w:sz w:val="32"/>
      <w:szCs w:val="32"/>
    </w:rPr>
  </w:style>
  <w:style w:type="paragraph" w:styleId="5">
    <w:name w:val="heading 4"/>
    <w:basedOn w:val="1"/>
    <w:next w:val="1"/>
    <w:link w:val="33"/>
    <w:qFormat/>
    <w:uiPriority w:val="99"/>
    <w:pPr>
      <w:keepNext/>
      <w:keepLines/>
      <w:spacing w:before="280" w:after="290" w:line="376" w:lineRule="auto"/>
      <w:outlineLvl w:val="3"/>
    </w:pPr>
    <w:rPr>
      <w:rFonts w:ascii="Cambria" w:hAnsi="Cambria" w:cs="Cambria"/>
      <w:b/>
      <w:bCs/>
      <w:sz w:val="28"/>
      <w:szCs w:val="28"/>
    </w:rPr>
  </w:style>
  <w:style w:type="paragraph" w:styleId="6">
    <w:name w:val="heading 5"/>
    <w:basedOn w:val="1"/>
    <w:next w:val="1"/>
    <w:link w:val="34"/>
    <w:qFormat/>
    <w:uiPriority w:val="99"/>
    <w:pPr>
      <w:keepNext/>
      <w:keepLines/>
      <w:spacing w:before="280" w:after="290" w:line="376" w:lineRule="auto"/>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1"/>
    <w:next w:val="1"/>
    <w:semiHidden/>
    <w:qFormat/>
    <w:uiPriority w:val="99"/>
    <w:pPr>
      <w:ind w:left="1200"/>
    </w:pPr>
  </w:style>
  <w:style w:type="paragraph" w:styleId="8">
    <w:name w:val="annotation text"/>
    <w:basedOn w:val="1"/>
    <w:link w:val="49"/>
    <w:semiHidden/>
    <w:unhideWhenUsed/>
    <w:qFormat/>
    <w:uiPriority w:val="99"/>
  </w:style>
  <w:style w:type="paragraph" w:styleId="9">
    <w:name w:val="Body Text Indent"/>
    <w:basedOn w:val="1"/>
    <w:link w:val="39"/>
    <w:qFormat/>
    <w:uiPriority w:val="99"/>
    <w:pPr>
      <w:widowControl w:val="0"/>
      <w:spacing w:after="120"/>
      <w:ind w:left="420" w:leftChars="200"/>
      <w:jc w:val="both"/>
    </w:pPr>
    <w:rPr>
      <w:rFonts w:ascii="Times New Roman" w:hAnsi="Times New Roman" w:cs="Times New Roman"/>
      <w:kern w:val="2"/>
      <w:sz w:val="21"/>
      <w:szCs w:val="21"/>
    </w:rPr>
  </w:style>
  <w:style w:type="paragraph" w:styleId="10">
    <w:name w:val="toc 5"/>
    <w:basedOn w:val="1"/>
    <w:next w:val="1"/>
    <w:semiHidden/>
    <w:qFormat/>
    <w:uiPriority w:val="99"/>
    <w:pPr>
      <w:ind w:left="800"/>
    </w:pPr>
  </w:style>
  <w:style w:type="paragraph" w:styleId="11">
    <w:name w:val="toc 3"/>
    <w:basedOn w:val="1"/>
    <w:next w:val="1"/>
    <w:semiHidden/>
    <w:qFormat/>
    <w:uiPriority w:val="99"/>
    <w:pPr>
      <w:ind w:left="400"/>
    </w:pPr>
  </w:style>
  <w:style w:type="paragraph" w:styleId="12">
    <w:name w:val="Plain Text"/>
    <w:basedOn w:val="1"/>
    <w:link w:val="47"/>
    <w:qFormat/>
    <w:uiPriority w:val="0"/>
    <w:pPr>
      <w:widowControl w:val="0"/>
      <w:jc w:val="both"/>
    </w:pPr>
    <w:rPr>
      <w:rFonts w:ascii="宋体" w:hAnsi="Courier New" w:eastAsia="等线" w:cs="Times New Roman"/>
      <w:kern w:val="2"/>
      <w:sz w:val="21"/>
    </w:rPr>
  </w:style>
  <w:style w:type="paragraph" w:styleId="13">
    <w:name w:val="toc 8"/>
    <w:basedOn w:val="1"/>
    <w:next w:val="1"/>
    <w:semiHidden/>
    <w:qFormat/>
    <w:uiPriority w:val="99"/>
    <w:pPr>
      <w:ind w:left="1400"/>
    </w:pPr>
  </w:style>
  <w:style w:type="paragraph" w:styleId="14">
    <w:name w:val="Date"/>
    <w:basedOn w:val="1"/>
    <w:next w:val="1"/>
    <w:link w:val="45"/>
    <w:qFormat/>
    <w:uiPriority w:val="0"/>
    <w:pPr>
      <w:widowControl w:val="0"/>
      <w:jc w:val="both"/>
    </w:pPr>
    <w:rPr>
      <w:rFonts w:cs="Times New Roman"/>
      <w:kern w:val="2"/>
      <w:sz w:val="28"/>
      <w:szCs w:val="22"/>
    </w:rPr>
  </w:style>
  <w:style w:type="paragraph" w:styleId="15">
    <w:name w:val="Balloon Text"/>
    <w:basedOn w:val="1"/>
    <w:link w:val="38"/>
    <w:semiHidden/>
    <w:qFormat/>
    <w:uiPriority w:val="99"/>
    <w:rPr>
      <w:sz w:val="18"/>
      <w:szCs w:val="18"/>
    </w:rPr>
  </w:style>
  <w:style w:type="paragraph" w:styleId="16">
    <w:name w:val="footer"/>
    <w:basedOn w:val="1"/>
    <w:link w:val="36"/>
    <w:qFormat/>
    <w:uiPriority w:val="99"/>
    <w:pPr>
      <w:tabs>
        <w:tab w:val="center" w:pos="4153"/>
        <w:tab w:val="right" w:pos="8306"/>
      </w:tabs>
      <w:snapToGrid w:val="0"/>
    </w:pPr>
    <w:rPr>
      <w:sz w:val="18"/>
      <w:szCs w:val="18"/>
    </w:rPr>
  </w:style>
  <w:style w:type="paragraph" w:styleId="17">
    <w:name w:val="header"/>
    <w:basedOn w:val="1"/>
    <w:link w:val="35"/>
    <w:qFormat/>
    <w:uiPriority w:val="99"/>
    <w:pPr>
      <w:pBdr>
        <w:bottom w:val="single" w:color="auto" w:sz="6" w:space="28"/>
      </w:pBdr>
      <w:tabs>
        <w:tab w:val="center" w:pos="4153"/>
        <w:tab w:val="right" w:pos="8306"/>
      </w:tabs>
      <w:snapToGrid w:val="0"/>
    </w:pPr>
    <w:rPr>
      <w:sz w:val="18"/>
      <w:szCs w:val="18"/>
    </w:rPr>
  </w:style>
  <w:style w:type="paragraph" w:styleId="18">
    <w:name w:val="toc 1"/>
    <w:basedOn w:val="1"/>
    <w:next w:val="1"/>
    <w:semiHidden/>
    <w:qFormat/>
    <w:uiPriority w:val="99"/>
    <w:pPr>
      <w:spacing w:before="240" w:after="120"/>
    </w:pPr>
    <w:rPr>
      <w:b/>
      <w:bCs/>
    </w:rPr>
  </w:style>
  <w:style w:type="paragraph" w:styleId="19">
    <w:name w:val="toc 4"/>
    <w:basedOn w:val="1"/>
    <w:next w:val="1"/>
    <w:semiHidden/>
    <w:qFormat/>
    <w:uiPriority w:val="99"/>
    <w:pPr>
      <w:ind w:left="600"/>
    </w:pPr>
  </w:style>
  <w:style w:type="paragraph" w:styleId="20">
    <w:name w:val="toc 6"/>
    <w:basedOn w:val="1"/>
    <w:next w:val="1"/>
    <w:semiHidden/>
    <w:qFormat/>
    <w:uiPriority w:val="99"/>
    <w:pPr>
      <w:ind w:left="1000"/>
    </w:pPr>
  </w:style>
  <w:style w:type="paragraph" w:styleId="21">
    <w:name w:val="toc 2"/>
    <w:basedOn w:val="1"/>
    <w:next w:val="1"/>
    <w:semiHidden/>
    <w:qFormat/>
    <w:uiPriority w:val="99"/>
    <w:pPr>
      <w:spacing w:before="120"/>
      <w:ind w:left="200"/>
    </w:pPr>
    <w:rPr>
      <w:i/>
      <w:iCs/>
    </w:rPr>
  </w:style>
  <w:style w:type="paragraph" w:styleId="22">
    <w:name w:val="toc 9"/>
    <w:basedOn w:val="1"/>
    <w:next w:val="1"/>
    <w:semiHidden/>
    <w:qFormat/>
    <w:uiPriority w:val="99"/>
    <w:pPr>
      <w:ind w:left="1600"/>
    </w:pPr>
  </w:style>
  <w:style w:type="paragraph" w:styleId="23">
    <w:name w:val="HTML Preformatted"/>
    <w:basedOn w:val="1"/>
    <w:link w:val="43"/>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sz w:val="24"/>
      <w:szCs w:val="24"/>
    </w:rPr>
  </w:style>
  <w:style w:type="paragraph" w:styleId="24">
    <w:name w:val="annotation subject"/>
    <w:basedOn w:val="8"/>
    <w:next w:val="8"/>
    <w:link w:val="50"/>
    <w:semiHidden/>
    <w:unhideWhenUsed/>
    <w:qFormat/>
    <w:uiPriority w:val="99"/>
    <w:rPr>
      <w:b/>
      <w:bCs/>
    </w:rPr>
  </w:style>
  <w:style w:type="table" w:styleId="26">
    <w:name w:val="Table Grid"/>
    <w:basedOn w:val="25"/>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28">
    <w:name w:val="page number"/>
    <w:basedOn w:val="27"/>
    <w:qFormat/>
    <w:uiPriority w:val="99"/>
  </w:style>
  <w:style w:type="character" w:styleId="29">
    <w:name w:val="Hyperlink"/>
    <w:basedOn w:val="27"/>
    <w:qFormat/>
    <w:uiPriority w:val="99"/>
    <w:rPr>
      <w:color w:val="0000FF"/>
      <w:u w:val="single"/>
    </w:rPr>
  </w:style>
  <w:style w:type="character" w:styleId="30">
    <w:name w:val="annotation reference"/>
    <w:basedOn w:val="27"/>
    <w:semiHidden/>
    <w:unhideWhenUsed/>
    <w:qFormat/>
    <w:uiPriority w:val="99"/>
    <w:rPr>
      <w:sz w:val="21"/>
      <w:szCs w:val="21"/>
    </w:rPr>
  </w:style>
  <w:style w:type="character" w:customStyle="1" w:styleId="31">
    <w:name w:val="标题 1 Char"/>
    <w:basedOn w:val="27"/>
    <w:link w:val="2"/>
    <w:qFormat/>
    <w:locked/>
    <w:uiPriority w:val="99"/>
    <w:rPr>
      <w:rFonts w:ascii="Calibri" w:hAnsi="Calibri" w:eastAsia="宋体" w:cs="Calibri"/>
      <w:b/>
      <w:bCs/>
      <w:kern w:val="44"/>
      <w:sz w:val="44"/>
      <w:szCs w:val="44"/>
    </w:rPr>
  </w:style>
  <w:style w:type="character" w:customStyle="1" w:styleId="32">
    <w:name w:val="标题 2 Char"/>
    <w:basedOn w:val="27"/>
    <w:link w:val="3"/>
    <w:qFormat/>
    <w:locked/>
    <w:uiPriority w:val="99"/>
    <w:rPr>
      <w:rFonts w:ascii="Cambria" w:hAnsi="Cambria" w:eastAsia="宋体" w:cs="Cambria"/>
      <w:b/>
      <w:bCs/>
      <w:sz w:val="32"/>
      <w:szCs w:val="32"/>
    </w:rPr>
  </w:style>
  <w:style w:type="character" w:customStyle="1" w:styleId="33">
    <w:name w:val="标题 4 Char"/>
    <w:basedOn w:val="27"/>
    <w:link w:val="5"/>
    <w:qFormat/>
    <w:locked/>
    <w:uiPriority w:val="99"/>
    <w:rPr>
      <w:rFonts w:ascii="Cambria" w:hAnsi="Cambria" w:eastAsia="宋体" w:cs="Cambria"/>
      <w:b/>
      <w:bCs/>
      <w:kern w:val="0"/>
      <w:sz w:val="28"/>
      <w:szCs w:val="28"/>
    </w:rPr>
  </w:style>
  <w:style w:type="character" w:customStyle="1" w:styleId="34">
    <w:name w:val="标题 5 Char"/>
    <w:basedOn w:val="27"/>
    <w:link w:val="6"/>
    <w:qFormat/>
    <w:locked/>
    <w:uiPriority w:val="99"/>
    <w:rPr>
      <w:rFonts w:ascii="Calibri" w:hAnsi="Calibri" w:eastAsia="宋体" w:cs="Calibri"/>
      <w:b/>
      <w:bCs/>
      <w:kern w:val="0"/>
      <w:sz w:val="28"/>
      <w:szCs w:val="28"/>
    </w:rPr>
  </w:style>
  <w:style w:type="character" w:customStyle="1" w:styleId="35">
    <w:name w:val="页眉 Char"/>
    <w:basedOn w:val="27"/>
    <w:link w:val="17"/>
    <w:qFormat/>
    <w:locked/>
    <w:uiPriority w:val="99"/>
    <w:rPr>
      <w:rFonts w:ascii="Calibri" w:hAnsi="Calibri" w:eastAsia="宋体" w:cs="Calibri"/>
      <w:kern w:val="0"/>
      <w:sz w:val="18"/>
      <w:szCs w:val="18"/>
    </w:rPr>
  </w:style>
  <w:style w:type="character" w:customStyle="1" w:styleId="36">
    <w:name w:val="页脚 Char"/>
    <w:basedOn w:val="27"/>
    <w:link w:val="16"/>
    <w:qFormat/>
    <w:locked/>
    <w:uiPriority w:val="99"/>
    <w:rPr>
      <w:sz w:val="18"/>
      <w:szCs w:val="18"/>
    </w:rPr>
  </w:style>
  <w:style w:type="paragraph" w:customStyle="1" w:styleId="37">
    <w:name w:val="TOC Heading"/>
    <w:basedOn w:val="2"/>
    <w:next w:val="1"/>
    <w:qFormat/>
    <w:uiPriority w:val="99"/>
    <w:pPr>
      <w:spacing w:before="480" w:after="0" w:line="276" w:lineRule="auto"/>
      <w:outlineLvl w:val="9"/>
    </w:pPr>
    <w:rPr>
      <w:rFonts w:ascii="Cambria" w:hAnsi="Cambria" w:cs="Cambria"/>
      <w:color w:val="365F91"/>
      <w:kern w:val="0"/>
      <w:sz w:val="28"/>
      <w:szCs w:val="28"/>
    </w:rPr>
  </w:style>
  <w:style w:type="character" w:customStyle="1" w:styleId="38">
    <w:name w:val="批注框文本 Char"/>
    <w:basedOn w:val="27"/>
    <w:link w:val="15"/>
    <w:semiHidden/>
    <w:qFormat/>
    <w:locked/>
    <w:uiPriority w:val="99"/>
    <w:rPr>
      <w:rFonts w:ascii="Calibri" w:hAnsi="Calibri" w:eastAsia="宋体" w:cs="Calibri"/>
      <w:kern w:val="0"/>
      <w:sz w:val="18"/>
      <w:szCs w:val="18"/>
    </w:rPr>
  </w:style>
  <w:style w:type="character" w:customStyle="1" w:styleId="39">
    <w:name w:val="正文文本缩进 Char"/>
    <w:basedOn w:val="27"/>
    <w:link w:val="9"/>
    <w:qFormat/>
    <w:locked/>
    <w:uiPriority w:val="99"/>
    <w:rPr>
      <w:rFonts w:ascii="Times New Roman" w:hAnsi="Times New Roman" w:eastAsia="宋体" w:cs="Times New Roman"/>
      <w:sz w:val="24"/>
      <w:szCs w:val="24"/>
    </w:rPr>
  </w:style>
  <w:style w:type="paragraph" w:styleId="40">
    <w:name w:val="List Paragraph"/>
    <w:basedOn w:val="1"/>
    <w:link w:val="41"/>
    <w:qFormat/>
    <w:uiPriority w:val="99"/>
    <w:pPr>
      <w:widowControl w:val="0"/>
      <w:ind w:firstLine="420" w:firstLineChars="200"/>
      <w:jc w:val="both"/>
    </w:pPr>
    <w:rPr>
      <w:rFonts w:ascii="Times New Roman" w:hAnsi="Times New Roman" w:cs="Times New Roman"/>
      <w:sz w:val="24"/>
      <w:szCs w:val="24"/>
    </w:rPr>
  </w:style>
  <w:style w:type="character" w:customStyle="1" w:styleId="41">
    <w:name w:val="列出段落 Char"/>
    <w:link w:val="40"/>
    <w:qFormat/>
    <w:locked/>
    <w:uiPriority w:val="99"/>
    <w:rPr>
      <w:rFonts w:ascii="Times New Roman" w:hAnsi="Times New Roman" w:eastAsia="宋体" w:cs="Times New Roman"/>
      <w:sz w:val="24"/>
      <w:szCs w:val="24"/>
    </w:rPr>
  </w:style>
  <w:style w:type="paragraph" w:customStyle="1" w:styleId="42">
    <w:name w:val="列出段落1"/>
    <w:basedOn w:val="1"/>
    <w:qFormat/>
    <w:uiPriority w:val="99"/>
    <w:pPr>
      <w:widowControl w:val="0"/>
      <w:ind w:firstLine="420" w:firstLineChars="200"/>
      <w:jc w:val="both"/>
    </w:pPr>
    <w:rPr>
      <w:kern w:val="2"/>
      <w:sz w:val="21"/>
      <w:szCs w:val="21"/>
    </w:rPr>
  </w:style>
  <w:style w:type="character" w:customStyle="1" w:styleId="43">
    <w:name w:val="HTML 预设格式 Char"/>
    <w:basedOn w:val="27"/>
    <w:link w:val="23"/>
    <w:semiHidden/>
    <w:qFormat/>
    <w:locked/>
    <w:uiPriority w:val="99"/>
    <w:rPr>
      <w:rFonts w:ascii="Courier New" w:hAnsi="Courier New" w:cs="Courier New"/>
      <w:kern w:val="0"/>
      <w:sz w:val="20"/>
      <w:szCs w:val="20"/>
    </w:rPr>
  </w:style>
  <w:style w:type="character" w:customStyle="1" w:styleId="44">
    <w:name w:val="标题 3 Char"/>
    <w:basedOn w:val="27"/>
    <w:link w:val="4"/>
    <w:semiHidden/>
    <w:qFormat/>
    <w:uiPriority w:val="0"/>
    <w:rPr>
      <w:rFonts w:cs="Calibri"/>
      <w:b/>
      <w:bCs/>
      <w:kern w:val="0"/>
      <w:sz w:val="32"/>
      <w:szCs w:val="32"/>
    </w:rPr>
  </w:style>
  <w:style w:type="character" w:customStyle="1" w:styleId="45">
    <w:name w:val="日期 Char1"/>
    <w:link w:val="14"/>
    <w:qFormat/>
    <w:uiPriority w:val="0"/>
    <w:rPr>
      <w:sz w:val="28"/>
    </w:rPr>
  </w:style>
  <w:style w:type="character" w:customStyle="1" w:styleId="46">
    <w:name w:val="日期 Char"/>
    <w:basedOn w:val="27"/>
    <w:semiHidden/>
    <w:qFormat/>
    <w:uiPriority w:val="99"/>
    <w:rPr>
      <w:rFonts w:cs="Calibri"/>
      <w:kern w:val="0"/>
      <w:sz w:val="20"/>
      <w:szCs w:val="20"/>
    </w:rPr>
  </w:style>
  <w:style w:type="character" w:customStyle="1" w:styleId="47">
    <w:name w:val="纯文本 Char"/>
    <w:basedOn w:val="27"/>
    <w:link w:val="12"/>
    <w:qFormat/>
    <w:uiPriority w:val="0"/>
    <w:rPr>
      <w:rFonts w:ascii="宋体" w:hAnsi="Courier New" w:eastAsia="等线"/>
      <w:szCs w:val="20"/>
    </w:rPr>
  </w:style>
  <w:style w:type="paragraph" w:customStyle="1" w:styleId="48">
    <w:name w:val="1"/>
    <w:basedOn w:val="1"/>
    <w:next w:val="12"/>
    <w:qFormat/>
    <w:uiPriority w:val="0"/>
    <w:pPr>
      <w:widowControl w:val="0"/>
      <w:jc w:val="both"/>
    </w:pPr>
    <w:rPr>
      <w:rFonts w:ascii="宋体" w:hAnsi="Courier New" w:eastAsia="等线" w:cs="Times New Roman"/>
      <w:kern w:val="2"/>
      <w:sz w:val="21"/>
    </w:rPr>
  </w:style>
  <w:style w:type="character" w:customStyle="1" w:styleId="49">
    <w:name w:val="批注文字 Char"/>
    <w:basedOn w:val="27"/>
    <w:link w:val="8"/>
    <w:semiHidden/>
    <w:qFormat/>
    <w:uiPriority w:val="99"/>
    <w:rPr>
      <w:rFonts w:cs="Calibri"/>
      <w:kern w:val="0"/>
      <w:sz w:val="20"/>
      <w:szCs w:val="20"/>
    </w:rPr>
  </w:style>
  <w:style w:type="character" w:customStyle="1" w:styleId="50">
    <w:name w:val="批注主题 Char"/>
    <w:basedOn w:val="49"/>
    <w:link w:val="24"/>
    <w:semiHidden/>
    <w:qFormat/>
    <w:uiPriority w:val="99"/>
    <w:rPr>
      <w:rFonts w:cs="Calibri"/>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5490</Words>
  <Characters>31298</Characters>
  <Lines>260</Lines>
  <Paragraphs>73</Paragraphs>
  <TotalTime>0</TotalTime>
  <ScaleCrop>false</ScaleCrop>
  <LinksUpToDate>false</LinksUpToDate>
  <CharactersWithSpaces>36715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2019-07-31T09:26:00Z</dcterms:created>
  <dc:creator>张渝</dc:creator>
  <cp:lastModifiedBy>竹亭落落</cp:lastModifiedBy>
  <cp:lastPrinted>2019-08-02T01:17:00Z</cp:lastPrinted>
  <dcterms:modified xsi:type="dcterms:W3CDTF">2019-08-21T09:43:32Z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